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15535" w:type="dxa"/>
        <w:tblInd w:w="-4995" w:type="dxa"/>
        <w:tblLayout w:type="fixed"/>
        <w:tblLook w:val="04A0" w:firstRow="1" w:lastRow="0" w:firstColumn="1" w:lastColumn="0" w:noHBand="0" w:noVBand="1"/>
      </w:tblPr>
      <w:tblGrid>
        <w:gridCol w:w="2438"/>
        <w:gridCol w:w="1644"/>
        <w:gridCol w:w="850"/>
        <w:gridCol w:w="1759"/>
        <w:gridCol w:w="8844"/>
      </w:tblGrid>
      <w:tr w:rsidR="00F00671" w:rsidRPr="00AC7B53" w14:paraId="6D77470C" w14:textId="77777777" w:rsidTr="004327D8">
        <w:trPr>
          <w:trHeight w:val="20"/>
        </w:trPr>
        <w:tc>
          <w:tcPr>
            <w:tcW w:w="2438" w:type="dxa"/>
            <w:tcBorders>
              <w:top w:val="nil"/>
              <w:left w:val="nil"/>
              <w:bottom w:val="nil"/>
              <w:right w:val="nil"/>
            </w:tcBorders>
          </w:tcPr>
          <w:p w14:paraId="7CDA0C3C" w14:textId="77777777" w:rsidR="00F00671" w:rsidRPr="00AC7B53" w:rsidRDefault="00F00671" w:rsidP="007A6F5B">
            <w:r>
              <w:rPr>
                <w:lang w:bidi="es-ES"/>
              </w:rPr>
              <w:t>Ref.dlgs196/03</w:t>
            </w:r>
          </w:p>
        </w:tc>
        <w:tc>
          <w:tcPr>
            <w:tcW w:w="1644" w:type="dxa"/>
            <w:tcBorders>
              <w:top w:val="nil"/>
              <w:left w:val="nil"/>
              <w:bottom w:val="nil"/>
              <w:right w:val="nil"/>
            </w:tcBorders>
          </w:tcPr>
          <w:p w14:paraId="54144E02" w14:textId="77777777" w:rsidR="00F00671" w:rsidRPr="00AC7B53" w:rsidRDefault="00F00671" w:rsidP="007A6F5B">
            <w:r>
              <w:rPr>
                <w:lang w:bidi="es-ES"/>
              </w:rPr>
              <w:t>Ref. RGPD</w:t>
            </w:r>
          </w:p>
        </w:tc>
        <w:tc>
          <w:tcPr>
            <w:tcW w:w="850" w:type="dxa"/>
            <w:tcBorders>
              <w:top w:val="nil"/>
              <w:left w:val="nil"/>
              <w:bottom w:val="nil"/>
              <w:right w:val="nil"/>
            </w:tcBorders>
          </w:tcPr>
          <w:p w14:paraId="2A019871" w14:textId="77777777" w:rsidR="00F00671" w:rsidRPr="00AC7B53" w:rsidRDefault="00F00671" w:rsidP="007A6F5B"/>
        </w:tc>
        <w:tc>
          <w:tcPr>
            <w:tcW w:w="10603" w:type="dxa"/>
            <w:gridSpan w:val="2"/>
            <w:tcBorders>
              <w:top w:val="nil"/>
              <w:left w:val="nil"/>
              <w:bottom w:val="nil"/>
              <w:right w:val="nil"/>
            </w:tcBorders>
          </w:tcPr>
          <w:p w14:paraId="1A41E83E" w14:textId="4CF3E1C3" w:rsidR="00F00671" w:rsidRPr="00AC7B53" w:rsidRDefault="00703ED1" w:rsidP="00F00671">
            <w:pPr>
              <w:jc w:val="center"/>
            </w:pPr>
            <w:r>
              <w:rPr>
                <w:lang w:bidi="es-ES"/>
              </w:rPr>
              <w:t>BIAUTO GROUP SPA</w:t>
            </w:r>
          </w:p>
        </w:tc>
      </w:tr>
      <w:tr w:rsidR="004327D8" w14:paraId="77A7E3DD" w14:textId="77777777" w:rsidTr="004327D8">
        <w:trPr>
          <w:trHeight w:val="1509"/>
        </w:trPr>
        <w:tc>
          <w:tcPr>
            <w:tcW w:w="2438" w:type="dxa"/>
            <w:tcBorders>
              <w:top w:val="nil"/>
              <w:left w:val="nil"/>
              <w:bottom w:val="nil"/>
              <w:right w:val="nil"/>
            </w:tcBorders>
          </w:tcPr>
          <w:p w14:paraId="13ED7DDD" w14:textId="77777777" w:rsidR="000E70D7" w:rsidRDefault="000E70D7" w:rsidP="007A6F5B">
            <w:pPr>
              <w:jc w:val="center"/>
            </w:pPr>
          </w:p>
        </w:tc>
        <w:tc>
          <w:tcPr>
            <w:tcW w:w="1644" w:type="dxa"/>
            <w:tcBorders>
              <w:top w:val="nil"/>
              <w:left w:val="nil"/>
              <w:bottom w:val="nil"/>
              <w:right w:val="nil"/>
            </w:tcBorders>
          </w:tcPr>
          <w:p w14:paraId="19024D59" w14:textId="77777777" w:rsidR="000E70D7" w:rsidRDefault="000E70D7" w:rsidP="007A6F5B">
            <w:pPr>
              <w:jc w:val="center"/>
            </w:pPr>
          </w:p>
        </w:tc>
        <w:tc>
          <w:tcPr>
            <w:tcW w:w="850" w:type="dxa"/>
            <w:tcBorders>
              <w:top w:val="nil"/>
              <w:left w:val="nil"/>
              <w:bottom w:val="nil"/>
              <w:right w:val="nil"/>
            </w:tcBorders>
          </w:tcPr>
          <w:p w14:paraId="085DFC71" w14:textId="77777777" w:rsidR="000E70D7" w:rsidRDefault="000E70D7" w:rsidP="007A6F5B">
            <w:pPr>
              <w:jc w:val="center"/>
            </w:pPr>
          </w:p>
        </w:tc>
        <w:tc>
          <w:tcPr>
            <w:tcW w:w="1759" w:type="dxa"/>
            <w:tcBorders>
              <w:top w:val="nil"/>
              <w:left w:val="nil"/>
              <w:bottom w:val="nil"/>
              <w:right w:val="nil"/>
            </w:tcBorders>
          </w:tcPr>
          <w:p w14:paraId="18AA3BDE" w14:textId="77777777" w:rsidR="00F00671" w:rsidRPr="007A6F5B" w:rsidRDefault="00F00671" w:rsidP="00F00671"/>
          <w:p w14:paraId="55C76BB2" w14:textId="77777777" w:rsidR="000E70D7" w:rsidRPr="007A6F5B" w:rsidRDefault="007A6F5B" w:rsidP="007A6F5B">
            <w:pPr>
              <w:jc w:val="center"/>
            </w:pPr>
            <w:r w:rsidRPr="007A6F5B">
              <w:rPr>
                <w:noProof/>
                <w:lang w:bidi="es-ES"/>
              </w:rPr>
              <w:drawing>
                <wp:inline distT="0" distB="0" distL="0" distR="0" wp14:anchorId="4314E608" wp14:editId="13C99BB9">
                  <wp:extent cx="780774" cy="780774"/>
                  <wp:effectExtent l="0" t="0" r="63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0774" cy="780774"/>
                          </a:xfrm>
                          <a:prstGeom prst="rect">
                            <a:avLst/>
                          </a:prstGeom>
                        </pic:spPr>
                      </pic:pic>
                    </a:graphicData>
                  </a:graphic>
                </wp:inline>
              </w:drawing>
            </w:r>
          </w:p>
        </w:tc>
        <w:tc>
          <w:tcPr>
            <w:tcW w:w="8844" w:type="dxa"/>
            <w:tcBorders>
              <w:top w:val="nil"/>
              <w:left w:val="nil"/>
              <w:bottom w:val="nil"/>
              <w:right w:val="nil"/>
            </w:tcBorders>
          </w:tcPr>
          <w:p w14:paraId="5E7B6068" w14:textId="5F97F1EA" w:rsidR="004327D8" w:rsidRDefault="000E70D7" w:rsidP="004327D8">
            <w:pPr>
              <w:pStyle w:val="Ttulo"/>
            </w:pPr>
            <w:r>
              <w:rPr>
                <w:lang w:bidi="es-ES"/>
              </w:rPr>
              <w:t>Información para el portal https://www.123buycars.com/</w:t>
            </w:r>
          </w:p>
          <w:p w14:paraId="3E2E6054" w14:textId="77777777" w:rsidR="000E70D7" w:rsidRDefault="000E70D7" w:rsidP="004327D8">
            <w:pPr>
              <w:pStyle w:val="Citadestacada"/>
            </w:pPr>
            <w:r>
              <w:rPr>
                <w:lang w:bidi="es-ES"/>
              </w:rPr>
              <w:t>art. 13-14 del Reg. 2016/679 de la UE</w:t>
            </w:r>
          </w:p>
          <w:p w14:paraId="14325B99" w14:textId="24715550" w:rsidR="009A1796" w:rsidRDefault="000E70D7" w:rsidP="00F00671">
            <w:pPr>
              <w:jc w:val="both"/>
            </w:pPr>
            <w:r>
              <w:rPr>
                <w:lang w:bidi="es-ES"/>
              </w:rPr>
              <w:t xml:space="preserve">El aviso de información es una obligación general que debe cumplirse antes </w:t>
            </w:r>
            <w:r w:rsidR="00FE66C8">
              <w:rPr>
                <w:lang w:bidi="es-ES"/>
              </w:rPr>
              <w:t>o, a</w:t>
            </w:r>
            <w:r>
              <w:rPr>
                <w:lang w:bidi="es-ES"/>
              </w:rPr>
              <w:t xml:space="preserve"> más tardar, al iniciar la recogida directa de datos personales. En el caso de los datos personales no recogidos directamente del interesado, la información debe facilitarse en un plazo razonable, o en el momento de la comunicación (no del registro) de los datos (a terceros o al interesado).</w:t>
            </w:r>
          </w:p>
          <w:p w14:paraId="2ECFDEED" w14:textId="74B487E5" w:rsidR="000E70D7" w:rsidRDefault="000E70D7" w:rsidP="00F00671">
            <w:pPr>
              <w:jc w:val="both"/>
            </w:pPr>
            <w:r>
              <w:rPr>
                <w:lang w:bidi="es-ES"/>
              </w:rPr>
              <w:t xml:space="preserve">De acuerdo con el Reglamento General de Protección de Datos Personales de las Personas Físicas (RGPD - </w:t>
            </w:r>
            <w:r w:rsidR="00FE66C8">
              <w:rPr>
                <w:lang w:bidi="es-ES"/>
              </w:rPr>
              <w:t>Reg. (</w:t>
            </w:r>
            <w:r>
              <w:rPr>
                <w:lang w:bidi="es-ES"/>
              </w:rPr>
              <w:t>EU)2016/679), la organización que suscribe, responsable del tratamiento, le informa de lo siguiente:</w:t>
            </w:r>
          </w:p>
        </w:tc>
      </w:tr>
      <w:tr w:rsidR="004327D8" w14:paraId="43CD51DE" w14:textId="77777777" w:rsidTr="004327D8">
        <w:tc>
          <w:tcPr>
            <w:tcW w:w="2438" w:type="dxa"/>
            <w:tcBorders>
              <w:top w:val="nil"/>
              <w:left w:val="nil"/>
              <w:bottom w:val="nil"/>
              <w:right w:val="nil"/>
            </w:tcBorders>
          </w:tcPr>
          <w:p w14:paraId="7EDD9735" w14:textId="77777777" w:rsidR="000E70D7" w:rsidRDefault="000E70D7" w:rsidP="007A6F5B">
            <w:pPr>
              <w:jc w:val="center"/>
              <w:rPr>
                <w:u w:val="single"/>
              </w:rPr>
            </w:pPr>
            <w:r w:rsidRPr="001A5E4F">
              <w:rPr>
                <w:b/>
                <w:u w:val="single"/>
                <w:lang w:bidi="es-ES"/>
              </w:rPr>
              <w:t>13 co.4</w:t>
            </w:r>
          </w:p>
        </w:tc>
        <w:tc>
          <w:tcPr>
            <w:tcW w:w="1644" w:type="dxa"/>
            <w:tcBorders>
              <w:top w:val="nil"/>
              <w:left w:val="nil"/>
              <w:bottom w:val="nil"/>
              <w:right w:val="nil"/>
            </w:tcBorders>
          </w:tcPr>
          <w:p w14:paraId="15FECB43" w14:textId="77777777" w:rsidR="000E70D7" w:rsidRDefault="000E70D7" w:rsidP="007A6F5B">
            <w:pPr>
              <w:rPr>
                <w:b/>
                <w:bCs/>
                <w:u w:val="single"/>
                <w:lang w:val="en-GB"/>
              </w:rPr>
            </w:pPr>
            <w:r w:rsidRPr="00EF3EF6">
              <w:rPr>
                <w:b/>
                <w:u w:val="single"/>
                <w:lang w:val="en-US" w:bidi="es-ES"/>
              </w:rPr>
              <w:t>14 co.2 let. f)</w:t>
            </w:r>
          </w:p>
          <w:p w14:paraId="6AC87851" w14:textId="77777777" w:rsidR="000E70D7" w:rsidRPr="001A5E4F" w:rsidRDefault="000E70D7" w:rsidP="007A6F5B">
            <w:pPr>
              <w:rPr>
                <w:b/>
                <w:bCs/>
                <w:u w:val="single"/>
                <w:lang w:val="en-GB"/>
              </w:rPr>
            </w:pPr>
            <w:r w:rsidRPr="00EF3EF6">
              <w:rPr>
                <w:b/>
                <w:u w:val="single"/>
                <w:lang w:val="en-US" w:bidi="es-ES"/>
              </w:rPr>
              <w:t>14 co.1 let. d)</w:t>
            </w:r>
          </w:p>
          <w:p w14:paraId="27BCB75C" w14:textId="77777777" w:rsidR="000E70D7" w:rsidRPr="001A5E4F" w:rsidRDefault="000E70D7" w:rsidP="007A6F5B">
            <w:pPr>
              <w:jc w:val="center"/>
              <w:rPr>
                <w:u w:val="single"/>
                <w:lang w:val="en-GB"/>
              </w:rPr>
            </w:pPr>
          </w:p>
        </w:tc>
        <w:tc>
          <w:tcPr>
            <w:tcW w:w="850" w:type="dxa"/>
            <w:tcBorders>
              <w:top w:val="nil"/>
              <w:left w:val="nil"/>
              <w:bottom w:val="nil"/>
              <w:right w:val="nil"/>
            </w:tcBorders>
          </w:tcPr>
          <w:p w14:paraId="0DD308AF" w14:textId="77777777" w:rsidR="000E70D7" w:rsidRPr="001A5E4F" w:rsidRDefault="000E70D7" w:rsidP="007A6F5B">
            <w:pPr>
              <w:jc w:val="center"/>
              <w:rPr>
                <w:u w:val="single"/>
                <w:lang w:val="en-GB"/>
              </w:rPr>
            </w:pPr>
          </w:p>
        </w:tc>
        <w:tc>
          <w:tcPr>
            <w:tcW w:w="1759" w:type="dxa"/>
            <w:tcBorders>
              <w:top w:val="nil"/>
              <w:left w:val="nil"/>
              <w:bottom w:val="nil"/>
              <w:right w:val="nil"/>
            </w:tcBorders>
          </w:tcPr>
          <w:p w14:paraId="6A4FF096" w14:textId="77777777" w:rsidR="000E70D7" w:rsidRPr="00806FA1" w:rsidRDefault="000E70D7" w:rsidP="0085355E">
            <w:pPr>
              <w:rPr>
                <w:lang w:val="en-US"/>
              </w:rPr>
            </w:pPr>
          </w:p>
        </w:tc>
        <w:tc>
          <w:tcPr>
            <w:tcW w:w="8844" w:type="dxa"/>
            <w:tcBorders>
              <w:top w:val="nil"/>
              <w:left w:val="nil"/>
              <w:bottom w:val="nil"/>
              <w:right w:val="nil"/>
            </w:tcBorders>
          </w:tcPr>
          <w:p w14:paraId="17CD8E00" w14:textId="2FACE493" w:rsidR="00703ED1" w:rsidRPr="00703ED1" w:rsidRDefault="000E70D7" w:rsidP="00703ED1">
            <w:pPr>
              <w:jc w:val="both"/>
            </w:pPr>
            <w:r w:rsidRPr="00134E53">
              <w:rPr>
                <w:lang w:bidi="es-ES"/>
              </w:rPr>
              <w:t xml:space="preserve">Los datos personales que posee la organización firmante se recogen directamente de los interesados. </w:t>
            </w:r>
          </w:p>
        </w:tc>
      </w:tr>
      <w:tr w:rsidR="009C3537" w14:paraId="614F81E0" w14:textId="77777777" w:rsidTr="004327D8">
        <w:tc>
          <w:tcPr>
            <w:tcW w:w="2438" w:type="dxa"/>
            <w:tcBorders>
              <w:top w:val="nil"/>
              <w:left w:val="nil"/>
              <w:bottom w:val="nil"/>
              <w:right w:val="nil"/>
            </w:tcBorders>
          </w:tcPr>
          <w:p w14:paraId="36CA9082" w14:textId="77777777" w:rsidR="009C3537" w:rsidRPr="001A5E4F" w:rsidRDefault="009C3537" w:rsidP="007A6F5B">
            <w:pPr>
              <w:jc w:val="center"/>
              <w:rPr>
                <w:b/>
                <w:bCs/>
                <w:u w:val="single"/>
              </w:rPr>
            </w:pPr>
          </w:p>
        </w:tc>
        <w:tc>
          <w:tcPr>
            <w:tcW w:w="1644" w:type="dxa"/>
            <w:tcBorders>
              <w:top w:val="nil"/>
              <w:left w:val="nil"/>
              <w:bottom w:val="nil"/>
              <w:right w:val="nil"/>
            </w:tcBorders>
          </w:tcPr>
          <w:p w14:paraId="1416A36C" w14:textId="77777777" w:rsidR="009C3537" w:rsidRPr="002834AE" w:rsidRDefault="009C3537" w:rsidP="007A6F5B">
            <w:pPr>
              <w:rPr>
                <w:b/>
                <w:bCs/>
                <w:u w:val="single"/>
              </w:rPr>
            </w:pPr>
          </w:p>
        </w:tc>
        <w:tc>
          <w:tcPr>
            <w:tcW w:w="850" w:type="dxa"/>
            <w:tcBorders>
              <w:top w:val="nil"/>
              <w:left w:val="nil"/>
              <w:bottom w:val="nil"/>
              <w:right w:val="nil"/>
            </w:tcBorders>
          </w:tcPr>
          <w:p w14:paraId="438811B1" w14:textId="77777777" w:rsidR="009C3537" w:rsidRPr="002834AE" w:rsidRDefault="009C3537" w:rsidP="007A6F5B">
            <w:pPr>
              <w:jc w:val="center"/>
              <w:rPr>
                <w:u w:val="single"/>
              </w:rPr>
            </w:pPr>
          </w:p>
        </w:tc>
        <w:tc>
          <w:tcPr>
            <w:tcW w:w="1759" w:type="dxa"/>
            <w:tcBorders>
              <w:top w:val="nil"/>
              <w:left w:val="nil"/>
              <w:bottom w:val="nil"/>
              <w:right w:val="nil"/>
            </w:tcBorders>
          </w:tcPr>
          <w:p w14:paraId="561B9AA0" w14:textId="77777777" w:rsidR="009C3537" w:rsidRPr="00F81C91" w:rsidRDefault="009C3537" w:rsidP="009C3537">
            <w:pPr>
              <w:rPr>
                <w:u w:val="single"/>
              </w:rPr>
            </w:pPr>
            <w:r w:rsidRPr="00F81C91">
              <w:rPr>
                <w:u w:val="single"/>
                <w:lang w:bidi="es-ES"/>
              </w:rPr>
              <w:t>Datos de navegación</w:t>
            </w:r>
          </w:p>
          <w:p w14:paraId="7C07D878" w14:textId="77777777" w:rsidR="009C3537" w:rsidRPr="00282B04" w:rsidRDefault="009C3537" w:rsidP="007A6F5B">
            <w:pPr>
              <w:jc w:val="center"/>
              <w:rPr>
                <w:lang w:val="en-GB"/>
              </w:rPr>
            </w:pPr>
          </w:p>
        </w:tc>
        <w:tc>
          <w:tcPr>
            <w:tcW w:w="8844" w:type="dxa"/>
            <w:tcBorders>
              <w:top w:val="nil"/>
              <w:left w:val="nil"/>
              <w:bottom w:val="nil"/>
              <w:right w:val="nil"/>
            </w:tcBorders>
          </w:tcPr>
          <w:p w14:paraId="54086675" w14:textId="77777777" w:rsidR="009C3537" w:rsidRPr="00134E53" w:rsidRDefault="009C3537" w:rsidP="009C3537">
            <w:pPr>
              <w:jc w:val="both"/>
            </w:pPr>
            <w:r>
              <w:rPr>
                <w:lang w:bidi="es-ES"/>
              </w:rPr>
              <w:t>Los sistemas informáticos y los procedimientos de software utilizados para el funcionamiento del sitio web adquieren, en el curso de su funcionamiento normal, algunos datos personales cuya transmisión está implícita en el uso de los protocolos de comunicación de Internet. Esta información no se recoge para ser asociada a interesados identificados, pero por su propia naturaleza podría, a través del tratamiento y la asociación con datos en poder de terceros, permitir la identificación de los usuarios. Esta categoría de datos incluye las direcciones IP o los nombres de dominio de los ordenadores utilizados por los usuarios que se conectan al sitio, las direcciones de notación URI (Uniform Resource Identifier) de los recursos solicitados, la hora de la solicitud, el método utilizado para presentar la solicitud al servidor, el tamaño del archivo obtenido como respuesta, el código numérico que indica el estado de la respuesta dada por el servidor (éxito, error, etc.) y otros parámetros relativos al sistema operativo y al entorno informático del usuario. Estos datos se utilizan con el único fin de obtener información estadística anónima sobre el uso del portal y para comprobar su correcto funcionamiento, y se eliminan inmediatamente después de su tratamiento. Los datos podrían utilizarse para determinar la responsabilidad en caso de hipotéticos delitos informáticos contra el sitio.</w:t>
            </w:r>
          </w:p>
        </w:tc>
      </w:tr>
      <w:tr w:rsidR="004C6A88" w14:paraId="39739CA2" w14:textId="77777777" w:rsidTr="004327D8">
        <w:tc>
          <w:tcPr>
            <w:tcW w:w="2438" w:type="dxa"/>
            <w:tcBorders>
              <w:top w:val="nil"/>
              <w:left w:val="nil"/>
              <w:bottom w:val="nil"/>
              <w:right w:val="nil"/>
            </w:tcBorders>
          </w:tcPr>
          <w:p w14:paraId="42365361" w14:textId="77777777" w:rsidR="004C6A88" w:rsidRPr="001A5E4F" w:rsidRDefault="004C6A88" w:rsidP="007A6F5B">
            <w:pPr>
              <w:jc w:val="center"/>
              <w:rPr>
                <w:b/>
                <w:bCs/>
                <w:u w:val="single"/>
              </w:rPr>
            </w:pPr>
            <w:bookmarkStart w:id="0" w:name="_Hlk515612081"/>
          </w:p>
        </w:tc>
        <w:tc>
          <w:tcPr>
            <w:tcW w:w="1644" w:type="dxa"/>
            <w:tcBorders>
              <w:top w:val="nil"/>
              <w:left w:val="nil"/>
              <w:bottom w:val="nil"/>
              <w:right w:val="nil"/>
            </w:tcBorders>
          </w:tcPr>
          <w:p w14:paraId="39298462" w14:textId="77777777" w:rsidR="004C6A88" w:rsidRPr="002834AE" w:rsidRDefault="004C6A88" w:rsidP="007A6F5B">
            <w:pPr>
              <w:rPr>
                <w:b/>
                <w:bCs/>
                <w:u w:val="single"/>
              </w:rPr>
            </w:pPr>
          </w:p>
        </w:tc>
        <w:tc>
          <w:tcPr>
            <w:tcW w:w="850" w:type="dxa"/>
            <w:tcBorders>
              <w:top w:val="nil"/>
              <w:left w:val="nil"/>
              <w:bottom w:val="nil"/>
              <w:right w:val="nil"/>
            </w:tcBorders>
          </w:tcPr>
          <w:p w14:paraId="08C87CC5" w14:textId="77777777" w:rsidR="004C6A88" w:rsidRPr="002834AE" w:rsidRDefault="004C6A88" w:rsidP="007A6F5B">
            <w:pPr>
              <w:jc w:val="center"/>
              <w:rPr>
                <w:u w:val="single"/>
              </w:rPr>
            </w:pPr>
          </w:p>
        </w:tc>
        <w:tc>
          <w:tcPr>
            <w:tcW w:w="1759" w:type="dxa"/>
            <w:tcBorders>
              <w:top w:val="nil"/>
              <w:left w:val="nil"/>
              <w:bottom w:val="nil"/>
              <w:right w:val="nil"/>
            </w:tcBorders>
          </w:tcPr>
          <w:p w14:paraId="0E674AE4" w14:textId="77777777" w:rsidR="004C6A88" w:rsidRPr="004C6A88" w:rsidRDefault="004C6A88" w:rsidP="004C6A88">
            <w:pPr>
              <w:rPr>
                <w:u w:val="single"/>
              </w:rPr>
            </w:pPr>
            <w:r w:rsidRPr="004C6A88">
              <w:rPr>
                <w:u w:val="single"/>
                <w:lang w:bidi="es-ES"/>
              </w:rPr>
              <w:t>Datos del perfil</w:t>
            </w:r>
          </w:p>
          <w:p w14:paraId="2BB0BE95" w14:textId="77777777" w:rsidR="004C6A88" w:rsidRPr="00F81C91" w:rsidRDefault="004C6A88" w:rsidP="009C3537">
            <w:pPr>
              <w:rPr>
                <w:u w:val="single"/>
              </w:rPr>
            </w:pPr>
          </w:p>
        </w:tc>
        <w:tc>
          <w:tcPr>
            <w:tcW w:w="8844" w:type="dxa"/>
            <w:tcBorders>
              <w:top w:val="nil"/>
              <w:left w:val="nil"/>
              <w:bottom w:val="nil"/>
              <w:right w:val="nil"/>
            </w:tcBorders>
          </w:tcPr>
          <w:p w14:paraId="368C24FC" w14:textId="320AAB23" w:rsidR="004C6A88" w:rsidRDefault="004753B6" w:rsidP="004C6A88">
            <w:pPr>
              <w:jc w:val="both"/>
            </w:pPr>
            <w:r>
              <w:rPr>
                <w:lang w:bidi="es-ES"/>
              </w:rPr>
              <w:t>Los datos de perfil sobre los hábitos o elecciones de consumo del interesado se adquieren mediante cookies con esta funcionalidad, que sólo se recogen tras el consentimiento explícito dado por el usuario. Es posible que a través de enlaces o mediante la incorporación de elementos de terceros, dicha información sea adquirida por entidades autónomas o separadas. Véase a este respecto la sección sobre cookies de terceros.</w:t>
            </w:r>
          </w:p>
        </w:tc>
      </w:tr>
      <w:tr w:rsidR="009C3537" w14:paraId="795F35AF" w14:textId="77777777" w:rsidTr="004327D8">
        <w:tc>
          <w:tcPr>
            <w:tcW w:w="2438" w:type="dxa"/>
            <w:tcBorders>
              <w:top w:val="nil"/>
              <w:left w:val="nil"/>
              <w:bottom w:val="nil"/>
              <w:right w:val="nil"/>
            </w:tcBorders>
          </w:tcPr>
          <w:p w14:paraId="234CB876" w14:textId="77777777" w:rsidR="009C3537" w:rsidRPr="001A5E4F" w:rsidRDefault="009C3537" w:rsidP="007A6F5B">
            <w:pPr>
              <w:jc w:val="center"/>
              <w:rPr>
                <w:b/>
                <w:bCs/>
                <w:u w:val="single"/>
              </w:rPr>
            </w:pPr>
          </w:p>
        </w:tc>
        <w:tc>
          <w:tcPr>
            <w:tcW w:w="1644" w:type="dxa"/>
            <w:tcBorders>
              <w:top w:val="nil"/>
              <w:left w:val="nil"/>
              <w:bottom w:val="nil"/>
              <w:right w:val="nil"/>
            </w:tcBorders>
          </w:tcPr>
          <w:p w14:paraId="514D56E4" w14:textId="77777777" w:rsidR="009C3537" w:rsidRPr="004C6A88" w:rsidRDefault="009C3537" w:rsidP="007A6F5B">
            <w:pPr>
              <w:rPr>
                <w:b/>
                <w:bCs/>
                <w:u w:val="single"/>
              </w:rPr>
            </w:pPr>
          </w:p>
        </w:tc>
        <w:tc>
          <w:tcPr>
            <w:tcW w:w="850" w:type="dxa"/>
            <w:tcBorders>
              <w:top w:val="nil"/>
              <w:left w:val="nil"/>
              <w:bottom w:val="nil"/>
              <w:right w:val="nil"/>
            </w:tcBorders>
          </w:tcPr>
          <w:p w14:paraId="1F0B425F" w14:textId="77777777" w:rsidR="009C3537" w:rsidRPr="004C6A88" w:rsidRDefault="009C3537" w:rsidP="007A6F5B">
            <w:pPr>
              <w:jc w:val="center"/>
              <w:rPr>
                <w:u w:val="single"/>
              </w:rPr>
            </w:pPr>
          </w:p>
        </w:tc>
        <w:tc>
          <w:tcPr>
            <w:tcW w:w="1759" w:type="dxa"/>
            <w:tcBorders>
              <w:top w:val="nil"/>
              <w:left w:val="nil"/>
              <w:bottom w:val="nil"/>
              <w:right w:val="nil"/>
            </w:tcBorders>
          </w:tcPr>
          <w:p w14:paraId="0DFDEC50" w14:textId="77777777" w:rsidR="009C3537" w:rsidRPr="00F81C91" w:rsidRDefault="009C3537" w:rsidP="009C3537">
            <w:pPr>
              <w:rPr>
                <w:u w:val="single"/>
              </w:rPr>
            </w:pPr>
            <w:r w:rsidRPr="00F81C91">
              <w:rPr>
                <w:u w:val="single"/>
                <w:lang w:bidi="es-ES"/>
              </w:rPr>
              <w:t>Cookies</w:t>
            </w:r>
          </w:p>
          <w:p w14:paraId="615F7C92" w14:textId="77777777" w:rsidR="009C3537" w:rsidRPr="00282B04" w:rsidRDefault="009C3537" w:rsidP="009C3537">
            <w:pPr>
              <w:rPr>
                <w:lang w:val="en-GB"/>
              </w:rPr>
            </w:pPr>
          </w:p>
        </w:tc>
        <w:tc>
          <w:tcPr>
            <w:tcW w:w="8844" w:type="dxa"/>
            <w:tcBorders>
              <w:top w:val="nil"/>
              <w:left w:val="nil"/>
              <w:bottom w:val="nil"/>
              <w:right w:val="nil"/>
            </w:tcBorders>
          </w:tcPr>
          <w:p w14:paraId="273AE021" w14:textId="77777777" w:rsidR="009C3537" w:rsidRDefault="009C3537" w:rsidP="009C3537">
            <w:pPr>
              <w:jc w:val="both"/>
            </w:pPr>
            <w:r>
              <w:rPr>
                <w:lang w:bidi="es-ES"/>
              </w:rPr>
              <w:t xml:space="preserve">Al igual que otros, este sitio web guarda cookies en el navegador utilizado por el usuario en cuestión para la transmisión de información personal y para mejorar la experiencia del usuario. De hecho, las cookies son pequeñas cadenas de texto que los sitios visitados por el usuario envían a su terminal (normalmente al navegador), donde se almacenan, a veces incluso con características de amplia persistencia temporal, para ser luego retransmitidas a los mismos sitios en la siguiente visita. </w:t>
            </w:r>
          </w:p>
          <w:p w14:paraId="18B52BD4" w14:textId="77777777" w:rsidR="009C3537" w:rsidRPr="00134E53" w:rsidRDefault="009C3537" w:rsidP="009C3537">
            <w:pPr>
              <w:jc w:val="both"/>
            </w:pPr>
            <w:r>
              <w:rPr>
                <w:lang w:bidi="es-ES"/>
              </w:rPr>
              <w:t>Como se explica a continuación, usted puede elegir si acepta las cookies y cuáles, teniendo en cuenta que rechazar su uso puede afectar a su capacidad para realizar determinadas transacciones en el portal o a la exactitud y adecuación de ciertos contenidos personalizables ofrecidos o a la capacidad de reconocerle de una visita a otra. Si no se hace ninguna elección al respecto, se aplicarán los ajustes por defecto y se activarán todas las cookies: no obstante, en cualquier momento podrá comunicar o modificar sus decisiones al respecto.</w:t>
            </w:r>
          </w:p>
        </w:tc>
      </w:tr>
      <w:bookmarkEnd w:id="0"/>
      <w:tr w:rsidR="009C3537" w14:paraId="7456E18C" w14:textId="77777777" w:rsidTr="004327D8">
        <w:tc>
          <w:tcPr>
            <w:tcW w:w="2438" w:type="dxa"/>
            <w:tcBorders>
              <w:top w:val="nil"/>
              <w:left w:val="nil"/>
              <w:bottom w:val="nil"/>
              <w:right w:val="nil"/>
            </w:tcBorders>
          </w:tcPr>
          <w:p w14:paraId="549B7A53" w14:textId="77777777" w:rsidR="009C3537" w:rsidRPr="001A5E4F" w:rsidRDefault="009C3537" w:rsidP="007A6F5B">
            <w:pPr>
              <w:jc w:val="center"/>
              <w:rPr>
                <w:b/>
                <w:bCs/>
                <w:u w:val="single"/>
              </w:rPr>
            </w:pPr>
          </w:p>
        </w:tc>
        <w:tc>
          <w:tcPr>
            <w:tcW w:w="1644" w:type="dxa"/>
            <w:tcBorders>
              <w:top w:val="nil"/>
              <w:left w:val="nil"/>
              <w:bottom w:val="nil"/>
              <w:right w:val="nil"/>
            </w:tcBorders>
          </w:tcPr>
          <w:p w14:paraId="6BB0B6D0" w14:textId="77777777" w:rsidR="009C3537" w:rsidRPr="002834AE" w:rsidRDefault="009C3537" w:rsidP="007A6F5B">
            <w:pPr>
              <w:rPr>
                <w:b/>
                <w:bCs/>
                <w:u w:val="single"/>
              </w:rPr>
            </w:pPr>
          </w:p>
        </w:tc>
        <w:tc>
          <w:tcPr>
            <w:tcW w:w="850" w:type="dxa"/>
            <w:tcBorders>
              <w:top w:val="nil"/>
              <w:left w:val="nil"/>
              <w:bottom w:val="nil"/>
              <w:right w:val="nil"/>
            </w:tcBorders>
          </w:tcPr>
          <w:p w14:paraId="756242A5" w14:textId="77777777" w:rsidR="009C3537" w:rsidRPr="002834AE" w:rsidRDefault="009C3537" w:rsidP="007A6F5B">
            <w:pPr>
              <w:jc w:val="center"/>
              <w:rPr>
                <w:u w:val="single"/>
              </w:rPr>
            </w:pPr>
          </w:p>
        </w:tc>
        <w:tc>
          <w:tcPr>
            <w:tcW w:w="1759" w:type="dxa"/>
            <w:tcBorders>
              <w:top w:val="nil"/>
              <w:left w:val="nil"/>
              <w:bottom w:val="nil"/>
              <w:right w:val="nil"/>
            </w:tcBorders>
          </w:tcPr>
          <w:p w14:paraId="55A3A229" w14:textId="77777777" w:rsidR="009C3537" w:rsidRPr="00F81C91" w:rsidRDefault="009C3537" w:rsidP="009C3537">
            <w:pPr>
              <w:rPr>
                <w:u w:val="single"/>
              </w:rPr>
            </w:pPr>
            <w:r w:rsidRPr="00F81C91">
              <w:rPr>
                <w:u w:val="single"/>
                <w:lang w:bidi="es-ES"/>
              </w:rPr>
              <w:t>Cookies técnicas</w:t>
            </w:r>
          </w:p>
          <w:p w14:paraId="0190E03B" w14:textId="77777777" w:rsidR="009C3537" w:rsidRPr="00282B04" w:rsidRDefault="009C3537" w:rsidP="009C3537">
            <w:pPr>
              <w:rPr>
                <w:lang w:val="en-GB"/>
              </w:rPr>
            </w:pPr>
          </w:p>
        </w:tc>
        <w:tc>
          <w:tcPr>
            <w:tcW w:w="8844" w:type="dxa"/>
            <w:tcBorders>
              <w:top w:val="nil"/>
              <w:left w:val="nil"/>
              <w:bottom w:val="nil"/>
              <w:right w:val="nil"/>
            </w:tcBorders>
          </w:tcPr>
          <w:p w14:paraId="1B064534" w14:textId="11E95979" w:rsidR="009C3537" w:rsidRDefault="009C3537" w:rsidP="004C6A88">
            <w:pPr>
              <w:jc w:val="both"/>
            </w:pPr>
            <w:r>
              <w:rPr>
                <w:lang w:bidi="es-ES"/>
              </w:rPr>
              <w:t xml:space="preserve">En particular, se utilizan las llamadas cookies de sesión, que no se almacenan de forma persistente en el ordenador del usuario y desaparecen cuando se cierra el navegador, y cuyo uso se limita estrictamente a la transmisión de identificadores de sesión (consistentes en números aleatorios generados por el servidor) necesarios para permitir la exploración segura y eficiente del portal y que evitan el uso de otras técnicas informáticas potencialmente perjudiciales para la confidencialidad de la navegación de los usuarios y no permiten la adquisición de datos </w:t>
            </w:r>
            <w:r>
              <w:rPr>
                <w:lang w:bidi="es-ES"/>
              </w:rPr>
              <w:lastRenderedPageBreak/>
              <w:t xml:space="preserve">personales que identifiquen al usuario. En el caso de </w:t>
            </w:r>
            <w:r>
              <w:rPr>
                <w:u w:val="single"/>
                <w:lang w:bidi="es-ES"/>
              </w:rPr>
              <w:t>las cookies técnicas</w:t>
            </w:r>
            <w:r>
              <w:rPr>
                <w:lang w:bidi="es-ES"/>
              </w:rPr>
              <w:t>, dado que no es necesario dar el consentimiento, se aplica el mecanismo de exclusión voluntaria. Las cookies técnicas no se comunican a terceros en la medida en que son necesarias o útiles para el funcionamiento del sitio; por lo tanto, sólo son tratadas por personas calificadas como responsables del tratamiento, controladores o administradores del sistema.</w:t>
            </w:r>
          </w:p>
          <w:p w14:paraId="2DF6E90A" w14:textId="78AA8D10" w:rsidR="0065263C" w:rsidRPr="00134E53" w:rsidRDefault="0065263C" w:rsidP="004C6A88">
            <w:pPr>
              <w:jc w:val="both"/>
            </w:pPr>
          </w:p>
        </w:tc>
      </w:tr>
      <w:tr w:rsidR="009C3537" w:rsidRPr="00FE66C8" w14:paraId="4E74BEAD" w14:textId="77777777" w:rsidTr="004327D8">
        <w:tc>
          <w:tcPr>
            <w:tcW w:w="2438" w:type="dxa"/>
            <w:tcBorders>
              <w:top w:val="nil"/>
              <w:left w:val="nil"/>
              <w:bottom w:val="nil"/>
              <w:right w:val="nil"/>
            </w:tcBorders>
          </w:tcPr>
          <w:p w14:paraId="4417B70D" w14:textId="77777777" w:rsidR="009C3537" w:rsidRPr="001A5E4F" w:rsidRDefault="009C3537" w:rsidP="007A6F5B">
            <w:pPr>
              <w:jc w:val="center"/>
              <w:rPr>
                <w:b/>
                <w:bCs/>
                <w:u w:val="single"/>
              </w:rPr>
            </w:pPr>
            <w:bookmarkStart w:id="1" w:name="_Hlk515612178"/>
          </w:p>
        </w:tc>
        <w:tc>
          <w:tcPr>
            <w:tcW w:w="1644" w:type="dxa"/>
            <w:tcBorders>
              <w:top w:val="nil"/>
              <w:left w:val="nil"/>
              <w:bottom w:val="nil"/>
              <w:right w:val="nil"/>
            </w:tcBorders>
          </w:tcPr>
          <w:p w14:paraId="5CD64144" w14:textId="77777777" w:rsidR="009C3537" w:rsidRPr="002834AE" w:rsidRDefault="009C3537" w:rsidP="007A6F5B">
            <w:pPr>
              <w:rPr>
                <w:b/>
                <w:bCs/>
                <w:u w:val="single"/>
              </w:rPr>
            </w:pPr>
          </w:p>
        </w:tc>
        <w:tc>
          <w:tcPr>
            <w:tcW w:w="850" w:type="dxa"/>
            <w:tcBorders>
              <w:top w:val="nil"/>
              <w:left w:val="nil"/>
              <w:bottom w:val="nil"/>
              <w:right w:val="nil"/>
            </w:tcBorders>
          </w:tcPr>
          <w:p w14:paraId="2292BBDA" w14:textId="77777777" w:rsidR="009C3537" w:rsidRPr="002834AE" w:rsidRDefault="009C3537" w:rsidP="007A6F5B">
            <w:pPr>
              <w:jc w:val="center"/>
              <w:rPr>
                <w:u w:val="single"/>
              </w:rPr>
            </w:pPr>
          </w:p>
        </w:tc>
        <w:tc>
          <w:tcPr>
            <w:tcW w:w="1759" w:type="dxa"/>
            <w:tcBorders>
              <w:top w:val="nil"/>
              <w:left w:val="nil"/>
              <w:bottom w:val="nil"/>
              <w:right w:val="nil"/>
            </w:tcBorders>
          </w:tcPr>
          <w:p w14:paraId="723D4E1E" w14:textId="77777777" w:rsidR="009C3537" w:rsidRPr="004C6A88" w:rsidRDefault="004C6A88" w:rsidP="004C6A88">
            <w:pPr>
              <w:rPr>
                <w:u w:val="single"/>
              </w:rPr>
            </w:pPr>
            <w:r w:rsidRPr="004C6A88">
              <w:rPr>
                <w:u w:val="single"/>
                <w:lang w:bidi="es-ES"/>
              </w:rPr>
              <w:t>Cookies de terceros</w:t>
            </w:r>
          </w:p>
        </w:tc>
        <w:tc>
          <w:tcPr>
            <w:tcW w:w="8844" w:type="dxa"/>
            <w:tcBorders>
              <w:top w:val="nil"/>
              <w:left w:val="nil"/>
              <w:bottom w:val="nil"/>
              <w:right w:val="nil"/>
            </w:tcBorders>
          </w:tcPr>
          <w:p w14:paraId="34EAD062" w14:textId="36C814E3" w:rsidR="004C6A88" w:rsidRDefault="004C6A88" w:rsidP="004C6A88">
            <w:pPr>
              <w:jc w:val="both"/>
              <w:rPr>
                <w:lang w:bidi="es-ES"/>
              </w:rPr>
            </w:pPr>
            <w:r>
              <w:rPr>
                <w:lang w:bidi="es-ES"/>
              </w:rPr>
              <w:t>Por último, el portal incorpora cookies y otros elementos (etiquetas, píxeles, etc.) de terceros (autónomos y sobre los que el Propietario no tiene ninguna responsabilidad) que también llevan a cabo actividades de elaboración de perfiles y sobre los que se puede consultar sus respectivos sitios:</w:t>
            </w:r>
          </w:p>
          <w:p w14:paraId="6E644B41" w14:textId="77777777" w:rsidR="00EF3EF6" w:rsidRPr="00EF3EF6" w:rsidRDefault="004C6A88" w:rsidP="004C6A88">
            <w:pPr>
              <w:jc w:val="both"/>
              <w:rPr>
                <w:lang w:bidi="es-ES"/>
              </w:rPr>
            </w:pPr>
            <w:r w:rsidRPr="001D126F">
              <w:rPr>
                <w:lang w:bidi="es-ES"/>
              </w:rPr>
              <w:tab/>
            </w:r>
            <w:r w:rsidRPr="00EF3EF6">
              <w:rPr>
                <w:lang w:bidi="es-ES"/>
              </w:rPr>
              <w:t>• Facebook</w:t>
            </w:r>
            <w:r w:rsidR="00EF3EF6" w:rsidRPr="00EF3EF6">
              <w:rPr>
                <w:lang w:bidi="es-ES"/>
              </w:rPr>
              <w:t xml:space="preserve"> </w:t>
            </w:r>
          </w:p>
          <w:p w14:paraId="1E9C012E" w14:textId="3132AF5D" w:rsidR="004C6A88" w:rsidRPr="00FE66C8" w:rsidRDefault="00EF3EF6" w:rsidP="00EF3EF6">
            <w:pPr>
              <w:pStyle w:val="Prrafodelista"/>
              <w:jc w:val="both"/>
              <w:rPr>
                <w:lang w:val="en-US" w:bidi="es-ES"/>
              </w:rPr>
            </w:pPr>
            <w:r w:rsidRPr="00FE66C8">
              <w:rPr>
                <w:lang w:val="en-US" w:bidi="es-ES"/>
              </w:rPr>
              <w:t xml:space="preserve">• </w:t>
            </w:r>
            <w:r w:rsidR="004C6A88" w:rsidRPr="00FE66C8">
              <w:rPr>
                <w:lang w:val="en-US" w:bidi="es-ES"/>
              </w:rPr>
              <w:t>Google Adwords</w:t>
            </w:r>
          </w:p>
          <w:p w14:paraId="61E5F855" w14:textId="6B00F95A" w:rsidR="009C3537" w:rsidRPr="00FE66C8" w:rsidRDefault="004C6A88" w:rsidP="004C6A88">
            <w:pPr>
              <w:jc w:val="both"/>
              <w:rPr>
                <w:lang w:val="en-US" w:bidi="es-ES"/>
              </w:rPr>
            </w:pPr>
            <w:r w:rsidRPr="00FE66C8">
              <w:rPr>
                <w:lang w:val="en-US" w:bidi="es-ES"/>
              </w:rPr>
              <w:tab/>
              <w:t>• Google Analitycs GA4</w:t>
            </w:r>
          </w:p>
        </w:tc>
      </w:tr>
      <w:bookmarkEnd w:id="1"/>
      <w:tr w:rsidR="009C3537" w14:paraId="20B9D9DC" w14:textId="77777777" w:rsidTr="004327D8">
        <w:tc>
          <w:tcPr>
            <w:tcW w:w="2438" w:type="dxa"/>
            <w:tcBorders>
              <w:top w:val="nil"/>
              <w:left w:val="nil"/>
              <w:bottom w:val="nil"/>
              <w:right w:val="nil"/>
            </w:tcBorders>
          </w:tcPr>
          <w:p w14:paraId="6FC3DEF7" w14:textId="77777777" w:rsidR="009C3537" w:rsidRPr="00806FA1" w:rsidRDefault="009C3537" w:rsidP="009C3537">
            <w:pPr>
              <w:jc w:val="center"/>
              <w:rPr>
                <w:b/>
                <w:bCs/>
                <w:u w:val="single"/>
                <w:lang w:val="en-US"/>
              </w:rPr>
            </w:pPr>
          </w:p>
        </w:tc>
        <w:tc>
          <w:tcPr>
            <w:tcW w:w="1644" w:type="dxa"/>
            <w:tcBorders>
              <w:top w:val="nil"/>
              <w:left w:val="nil"/>
              <w:bottom w:val="nil"/>
              <w:right w:val="nil"/>
            </w:tcBorders>
          </w:tcPr>
          <w:p w14:paraId="484DAE0E" w14:textId="77777777" w:rsidR="009C3537" w:rsidRPr="00806FA1" w:rsidRDefault="009C3537" w:rsidP="009C3537">
            <w:pPr>
              <w:rPr>
                <w:b/>
                <w:bCs/>
                <w:u w:val="single"/>
                <w:lang w:val="en-US"/>
              </w:rPr>
            </w:pPr>
          </w:p>
        </w:tc>
        <w:tc>
          <w:tcPr>
            <w:tcW w:w="850" w:type="dxa"/>
            <w:tcBorders>
              <w:top w:val="nil"/>
              <w:left w:val="nil"/>
              <w:bottom w:val="nil"/>
              <w:right w:val="nil"/>
            </w:tcBorders>
          </w:tcPr>
          <w:p w14:paraId="671B2088" w14:textId="77777777" w:rsidR="009C3537" w:rsidRPr="00806FA1" w:rsidRDefault="009C3537" w:rsidP="009C3537">
            <w:pPr>
              <w:jc w:val="center"/>
              <w:rPr>
                <w:u w:val="single"/>
                <w:lang w:val="en-US"/>
              </w:rPr>
            </w:pPr>
          </w:p>
        </w:tc>
        <w:tc>
          <w:tcPr>
            <w:tcW w:w="1759" w:type="dxa"/>
            <w:tcBorders>
              <w:top w:val="nil"/>
              <w:left w:val="nil"/>
              <w:bottom w:val="nil"/>
              <w:right w:val="nil"/>
            </w:tcBorders>
          </w:tcPr>
          <w:p w14:paraId="6DB602FA" w14:textId="6BC08CA6" w:rsidR="004753B6" w:rsidRPr="00F81C91" w:rsidRDefault="009C3537" w:rsidP="009C3537">
            <w:pPr>
              <w:rPr>
                <w:u w:val="single"/>
              </w:rPr>
            </w:pPr>
            <w:r w:rsidRPr="00F81C91">
              <w:rPr>
                <w:u w:val="single"/>
                <w:lang w:bidi="es-ES"/>
              </w:rPr>
              <w:t>Datos proporcionados voluntariamente por el usuario</w:t>
            </w:r>
          </w:p>
          <w:p w14:paraId="42635434" w14:textId="77777777" w:rsidR="009C3537" w:rsidRPr="00EF3EF6" w:rsidRDefault="009C3537" w:rsidP="009C3537">
            <w:pPr>
              <w:jc w:val="center"/>
            </w:pPr>
          </w:p>
        </w:tc>
        <w:tc>
          <w:tcPr>
            <w:tcW w:w="8844" w:type="dxa"/>
            <w:tcBorders>
              <w:top w:val="nil"/>
              <w:left w:val="nil"/>
              <w:bottom w:val="nil"/>
              <w:right w:val="nil"/>
            </w:tcBorders>
          </w:tcPr>
          <w:p w14:paraId="3A52DD68" w14:textId="1BC93EE4" w:rsidR="004753B6" w:rsidRDefault="009C3537" w:rsidP="009C3537">
            <w:pPr>
              <w:jc w:val="both"/>
            </w:pPr>
            <w:r>
              <w:rPr>
                <w:lang w:bidi="es-ES"/>
              </w:rPr>
              <w:t>El envío facultativo, explícito y voluntario de una solicitud por parte del usuario a través del canal de comunicación instantánea de la página web conlleva la recogida y el posterior tratamiento de datos personales. Para el funcionamiento del chat, la recogida de datos personales también es obligatoria, ya que las personas afectadas deben ser identificadas mediante unos datos mínimos; la negativa a facilitar dichos datos personales imposibilitará la activación de la comunicación por chat. Su tratamiento no requiere el consentimiento del interesado.</w:t>
            </w:r>
          </w:p>
          <w:p w14:paraId="192ACFDC" w14:textId="3BA4CCA4" w:rsidR="004753B6" w:rsidRDefault="004753B6" w:rsidP="009C3537">
            <w:pPr>
              <w:jc w:val="both"/>
            </w:pPr>
            <w:r>
              <w:rPr>
                <w:lang w:bidi="es-ES"/>
              </w:rPr>
              <w:t>La recogida o el tratamiento de los datos personales tiene como única finalidad el cumplimiento adecuado de las tareas relacionadas con la funcionalidad del chat interactivo.</w:t>
            </w:r>
          </w:p>
          <w:p w14:paraId="3C4B8A9E" w14:textId="02F885F0" w:rsidR="00FE78BC" w:rsidRDefault="00FE78BC" w:rsidP="009C3537">
            <w:pPr>
              <w:jc w:val="both"/>
            </w:pPr>
          </w:p>
          <w:p w14:paraId="77A21984" w14:textId="5797B620" w:rsidR="009C3537" w:rsidRPr="00134E53" w:rsidRDefault="00FE78BC" w:rsidP="0085355E">
            <w:pPr>
              <w:jc w:val="both"/>
            </w:pPr>
            <w:r>
              <w:rPr>
                <w:lang w:bidi="es-ES"/>
              </w:rPr>
              <w:t xml:space="preserve">Los usuarios que se reconozcan como profesionales del sector, que cumplan los requisitos legales, entre ellos ser </w:t>
            </w:r>
            <w:r w:rsidR="00DB053A" w:rsidRPr="009F0586">
              <w:rPr>
                <w:rFonts w:ascii="Roboto" w:eastAsia="Arial Unicode MS" w:hAnsi="Roboto" w:cs="Roboto"/>
                <w:color w:val="000000"/>
                <w:sz w:val="20"/>
                <w:szCs w:val="20"/>
                <w:bdr w:val="nil"/>
                <w:lang w:bidi="es-ES"/>
              </w:rPr>
              <w:t xml:space="preserve">titulares de un número de identificación fiscal, con licencia de comercio de automóviles, y que estén interesados en formar parte del servicio de subastas en </w:t>
            </w:r>
            <w:r>
              <w:rPr>
                <w:lang w:bidi="es-ES"/>
              </w:rPr>
              <w:t>línea, también tienen derecho a registrarse y acceder al área reservada de la web. El servicio es operado a través de una plataforma B2BID a la que el usuario está obligado a aceptar las condiciones de uso contenidas en el "Reglamento BUYCARS".</w:t>
            </w:r>
          </w:p>
        </w:tc>
      </w:tr>
      <w:tr w:rsidR="00776123" w14:paraId="6D3E8969" w14:textId="77777777" w:rsidTr="00926B74">
        <w:tc>
          <w:tcPr>
            <w:tcW w:w="2438" w:type="dxa"/>
            <w:tcBorders>
              <w:top w:val="nil"/>
              <w:left w:val="nil"/>
              <w:bottom w:val="nil"/>
              <w:right w:val="nil"/>
            </w:tcBorders>
          </w:tcPr>
          <w:p w14:paraId="7C8C5778" w14:textId="77777777" w:rsidR="00776123" w:rsidRPr="001A5E4F" w:rsidRDefault="00776123" w:rsidP="00926B74">
            <w:pPr>
              <w:jc w:val="center"/>
              <w:rPr>
                <w:b/>
                <w:bCs/>
                <w:u w:val="single"/>
              </w:rPr>
            </w:pPr>
            <w:bookmarkStart w:id="2" w:name="_Hlk515611915"/>
          </w:p>
        </w:tc>
        <w:tc>
          <w:tcPr>
            <w:tcW w:w="1644" w:type="dxa"/>
            <w:tcBorders>
              <w:top w:val="nil"/>
              <w:left w:val="nil"/>
              <w:bottom w:val="nil"/>
              <w:right w:val="nil"/>
            </w:tcBorders>
          </w:tcPr>
          <w:p w14:paraId="2F048484" w14:textId="77777777" w:rsidR="00776123" w:rsidRPr="009C3537" w:rsidRDefault="00776123" w:rsidP="00926B74">
            <w:pPr>
              <w:rPr>
                <w:b/>
                <w:bCs/>
                <w:u w:val="single"/>
              </w:rPr>
            </w:pPr>
          </w:p>
        </w:tc>
        <w:tc>
          <w:tcPr>
            <w:tcW w:w="850" w:type="dxa"/>
            <w:tcBorders>
              <w:top w:val="nil"/>
              <w:left w:val="nil"/>
              <w:bottom w:val="nil"/>
              <w:right w:val="nil"/>
            </w:tcBorders>
          </w:tcPr>
          <w:p w14:paraId="5B5C8169" w14:textId="77777777" w:rsidR="00776123" w:rsidRPr="009C3537" w:rsidRDefault="00776123" w:rsidP="00926B74">
            <w:pPr>
              <w:jc w:val="center"/>
              <w:rPr>
                <w:u w:val="single"/>
              </w:rPr>
            </w:pPr>
          </w:p>
        </w:tc>
        <w:tc>
          <w:tcPr>
            <w:tcW w:w="1759" w:type="dxa"/>
            <w:tcBorders>
              <w:top w:val="nil"/>
              <w:left w:val="nil"/>
              <w:bottom w:val="nil"/>
              <w:right w:val="nil"/>
            </w:tcBorders>
          </w:tcPr>
          <w:p w14:paraId="06DD8199" w14:textId="76A74FBC" w:rsidR="00776123" w:rsidRDefault="00776123" w:rsidP="00926B74">
            <w:pPr>
              <w:jc w:val="both"/>
              <w:rPr>
                <w:u w:val="single"/>
              </w:rPr>
            </w:pPr>
          </w:p>
        </w:tc>
        <w:tc>
          <w:tcPr>
            <w:tcW w:w="8844" w:type="dxa"/>
            <w:tcBorders>
              <w:top w:val="nil"/>
              <w:left w:val="nil"/>
              <w:bottom w:val="nil"/>
              <w:right w:val="nil"/>
            </w:tcBorders>
          </w:tcPr>
          <w:p w14:paraId="7AC185FF" w14:textId="287D8D47" w:rsidR="00776123" w:rsidRDefault="00776123" w:rsidP="00926B74">
            <w:pPr>
              <w:jc w:val="both"/>
            </w:pPr>
          </w:p>
        </w:tc>
      </w:tr>
      <w:bookmarkEnd w:id="2"/>
      <w:tr w:rsidR="009C3537" w14:paraId="672C28CC" w14:textId="77777777" w:rsidTr="004327D8">
        <w:tc>
          <w:tcPr>
            <w:tcW w:w="2438" w:type="dxa"/>
            <w:tcBorders>
              <w:top w:val="nil"/>
              <w:left w:val="nil"/>
              <w:bottom w:val="nil"/>
              <w:right w:val="nil"/>
            </w:tcBorders>
          </w:tcPr>
          <w:p w14:paraId="132A7211" w14:textId="77777777" w:rsidR="009C3537" w:rsidRPr="001A5E4F" w:rsidRDefault="009C3537" w:rsidP="009C3537">
            <w:pPr>
              <w:jc w:val="center"/>
              <w:rPr>
                <w:b/>
                <w:bCs/>
                <w:u w:val="single"/>
              </w:rPr>
            </w:pPr>
          </w:p>
        </w:tc>
        <w:tc>
          <w:tcPr>
            <w:tcW w:w="1644" w:type="dxa"/>
            <w:tcBorders>
              <w:top w:val="nil"/>
              <w:left w:val="nil"/>
              <w:bottom w:val="nil"/>
              <w:right w:val="nil"/>
            </w:tcBorders>
          </w:tcPr>
          <w:p w14:paraId="5E669F76" w14:textId="77777777" w:rsidR="009C3537" w:rsidRPr="009C3537" w:rsidRDefault="009C3537" w:rsidP="009C3537">
            <w:pPr>
              <w:rPr>
                <w:b/>
                <w:bCs/>
                <w:u w:val="single"/>
              </w:rPr>
            </w:pPr>
          </w:p>
        </w:tc>
        <w:tc>
          <w:tcPr>
            <w:tcW w:w="850" w:type="dxa"/>
            <w:tcBorders>
              <w:top w:val="nil"/>
              <w:left w:val="nil"/>
              <w:bottom w:val="nil"/>
              <w:right w:val="nil"/>
            </w:tcBorders>
          </w:tcPr>
          <w:p w14:paraId="22004EEE" w14:textId="77777777" w:rsidR="009C3537" w:rsidRPr="009C3537" w:rsidRDefault="009C3537" w:rsidP="009C3537">
            <w:pPr>
              <w:jc w:val="center"/>
              <w:rPr>
                <w:u w:val="single"/>
              </w:rPr>
            </w:pPr>
          </w:p>
        </w:tc>
        <w:tc>
          <w:tcPr>
            <w:tcW w:w="1759" w:type="dxa"/>
            <w:tcBorders>
              <w:top w:val="nil"/>
              <w:left w:val="nil"/>
              <w:bottom w:val="nil"/>
              <w:right w:val="nil"/>
            </w:tcBorders>
          </w:tcPr>
          <w:p w14:paraId="4AD36849" w14:textId="77777777" w:rsidR="009C3537" w:rsidRPr="003D7E11" w:rsidRDefault="009C3537" w:rsidP="009C3537">
            <w:pPr>
              <w:rPr>
                <w:u w:val="single"/>
              </w:rPr>
            </w:pPr>
          </w:p>
        </w:tc>
        <w:tc>
          <w:tcPr>
            <w:tcW w:w="8844" w:type="dxa"/>
            <w:tcBorders>
              <w:top w:val="nil"/>
              <w:left w:val="nil"/>
              <w:bottom w:val="nil"/>
              <w:right w:val="nil"/>
            </w:tcBorders>
          </w:tcPr>
          <w:p w14:paraId="2B5496DB" w14:textId="35A9A9E3" w:rsidR="009C3537" w:rsidRDefault="003D7E11" w:rsidP="003D7E11">
            <w:pPr>
              <w:jc w:val="both"/>
            </w:pPr>
            <w:r>
              <w:rPr>
                <w:lang w:bidi="es-ES"/>
              </w:rPr>
              <w:t xml:space="preserve">La información que el usuario carga durante el registro está protegida por sistemas de encriptación y autenticación y sólo es accesible para los usuarios autorizados, es decir, los directamente implicados y/o los intermediarios. Dicha información no está sujeta a difusión. </w:t>
            </w:r>
          </w:p>
        </w:tc>
      </w:tr>
      <w:tr w:rsidR="009C3537" w14:paraId="442C29E7" w14:textId="77777777" w:rsidTr="004327D8">
        <w:tc>
          <w:tcPr>
            <w:tcW w:w="2438" w:type="dxa"/>
            <w:tcBorders>
              <w:top w:val="nil"/>
              <w:left w:val="nil"/>
              <w:bottom w:val="nil"/>
              <w:right w:val="nil"/>
            </w:tcBorders>
          </w:tcPr>
          <w:p w14:paraId="242600C3" w14:textId="77777777" w:rsidR="009C3537" w:rsidRDefault="009C3537" w:rsidP="009C3537">
            <w:pPr>
              <w:jc w:val="center"/>
            </w:pPr>
            <w:r w:rsidRPr="007A6EE8">
              <w:rPr>
                <w:b/>
                <w:lang w:bidi="es-ES"/>
              </w:rPr>
              <w:t>13 co.1 let. a)</w:t>
            </w:r>
          </w:p>
        </w:tc>
        <w:tc>
          <w:tcPr>
            <w:tcW w:w="1644" w:type="dxa"/>
            <w:tcBorders>
              <w:top w:val="nil"/>
              <w:left w:val="nil"/>
              <w:bottom w:val="nil"/>
              <w:right w:val="nil"/>
            </w:tcBorders>
          </w:tcPr>
          <w:p w14:paraId="60F80CD5" w14:textId="77777777" w:rsidR="009C3537" w:rsidRDefault="009C3537" w:rsidP="009C3537">
            <w:pPr>
              <w:jc w:val="center"/>
              <w:rPr>
                <w:b/>
                <w:bCs/>
              </w:rPr>
            </w:pPr>
            <w:r w:rsidRPr="007A6EE8">
              <w:rPr>
                <w:b/>
                <w:lang w:bidi="es-ES"/>
              </w:rPr>
              <w:t>13/14 co.1 let. c)</w:t>
            </w:r>
          </w:p>
          <w:p w14:paraId="271138F9" w14:textId="77777777" w:rsidR="009C3537" w:rsidRDefault="009C3537" w:rsidP="009C3537">
            <w:pPr>
              <w:jc w:val="center"/>
              <w:rPr>
                <w:b/>
                <w:bCs/>
              </w:rPr>
            </w:pPr>
          </w:p>
          <w:p w14:paraId="5AC36A05" w14:textId="6D66161B" w:rsidR="009C3537" w:rsidRDefault="009C3537" w:rsidP="009C3537">
            <w:pPr>
              <w:jc w:val="center"/>
            </w:pPr>
            <w:r>
              <w:rPr>
                <w:b/>
                <w:lang w:bidi="es-ES"/>
              </w:rPr>
              <w:t>en caso de intereses legítimos:</w:t>
            </w:r>
            <w:r>
              <w:rPr>
                <w:rFonts w:asciiTheme="minorHAnsi" w:eastAsiaTheme="minorEastAsia" w:cstheme="minorBidi"/>
                <w:b/>
                <w:color w:val="FFFFFF" w:themeColor="light1"/>
                <w:kern w:val="24"/>
                <w:sz w:val="48"/>
                <w:szCs w:val="48"/>
                <w:lang w:bidi="es-ES"/>
              </w:rPr>
              <w:t xml:space="preserve"> </w:t>
            </w:r>
            <w:r>
              <w:rPr>
                <w:b/>
                <w:lang w:bidi="es-ES"/>
              </w:rPr>
              <w:t xml:space="preserve">13co.1 </w:t>
            </w:r>
            <w:r w:rsidR="00FE66C8">
              <w:rPr>
                <w:b/>
                <w:lang w:bidi="es-ES"/>
              </w:rPr>
              <w:t>let. d</w:t>
            </w:r>
            <w:r>
              <w:rPr>
                <w:b/>
                <w:lang w:bidi="es-ES"/>
              </w:rPr>
              <w:t>) 14co.2 let. b)</w:t>
            </w:r>
          </w:p>
        </w:tc>
        <w:tc>
          <w:tcPr>
            <w:tcW w:w="850" w:type="dxa"/>
            <w:tcBorders>
              <w:top w:val="nil"/>
              <w:left w:val="nil"/>
              <w:bottom w:val="nil"/>
              <w:right w:val="nil"/>
            </w:tcBorders>
          </w:tcPr>
          <w:p w14:paraId="15C71930" w14:textId="77777777" w:rsidR="009C3537" w:rsidRDefault="009C3537" w:rsidP="009C3537">
            <w:pPr>
              <w:jc w:val="center"/>
            </w:pPr>
          </w:p>
        </w:tc>
        <w:tc>
          <w:tcPr>
            <w:tcW w:w="1759" w:type="dxa"/>
            <w:tcBorders>
              <w:top w:val="nil"/>
              <w:left w:val="nil"/>
              <w:bottom w:val="nil"/>
              <w:right w:val="nil"/>
            </w:tcBorders>
          </w:tcPr>
          <w:p w14:paraId="121DF1F9" w14:textId="7D24D977" w:rsidR="009C3537" w:rsidRPr="007A6F5B" w:rsidRDefault="009C3537" w:rsidP="009C3537">
            <w:pPr>
              <w:jc w:val="center"/>
            </w:pPr>
          </w:p>
          <w:p w14:paraId="21D8A564" w14:textId="77777777" w:rsidR="009C3537" w:rsidRPr="007A6F5B" w:rsidRDefault="009C3537" w:rsidP="009C3537">
            <w:pPr>
              <w:jc w:val="center"/>
            </w:pPr>
          </w:p>
          <w:p w14:paraId="0F4DAF32" w14:textId="77777777" w:rsidR="009C3537" w:rsidRPr="007A6F5B" w:rsidRDefault="009C3537" w:rsidP="009C3537">
            <w:pPr>
              <w:jc w:val="center"/>
            </w:pPr>
            <w:r w:rsidRPr="007A6F5B">
              <w:rPr>
                <w:lang w:bidi="es-ES"/>
              </w:rPr>
              <w:t>FINALIDAD Y BASE JURÍDICA DEL TRATAMIENTO</w:t>
            </w:r>
          </w:p>
        </w:tc>
        <w:tc>
          <w:tcPr>
            <w:tcW w:w="8844" w:type="dxa"/>
            <w:tcBorders>
              <w:top w:val="nil"/>
              <w:left w:val="nil"/>
              <w:bottom w:val="nil"/>
              <w:right w:val="nil"/>
            </w:tcBorders>
          </w:tcPr>
          <w:p w14:paraId="3246B7AE" w14:textId="77777777" w:rsidR="00AB78AA" w:rsidRDefault="00AB78AA" w:rsidP="00AB78AA">
            <w:r>
              <w:rPr>
                <w:lang w:bidi="es-ES"/>
              </w:rPr>
              <w:t>Se tratan datos personales (ref. Art. 6(b) del RGPD):</w:t>
            </w:r>
          </w:p>
          <w:p w14:paraId="5E014F9F" w14:textId="50B10DDF" w:rsidR="00AB78AA" w:rsidRDefault="00AB78AA" w:rsidP="007F5832">
            <w:pPr>
              <w:pStyle w:val="Prrafodelista"/>
              <w:numPr>
                <w:ilvl w:val="0"/>
                <w:numId w:val="7"/>
              </w:numPr>
              <w:jc w:val="both"/>
            </w:pPr>
            <w:r>
              <w:rPr>
                <w:lang w:bidi="es-ES"/>
              </w:rPr>
              <w:t>para permitir la navegación en el portal y en la ejecución del servicio o prestación solicitada por el usuario (por ejemplo, la comunicación a través del chat y/o el uso de la plataforma de subastas en línea a través del procedimiento de registro)</w:t>
            </w:r>
          </w:p>
          <w:p w14:paraId="23C8FFBA" w14:textId="77777777" w:rsidR="009C3537" w:rsidRPr="005B6210" w:rsidRDefault="00AB78AA" w:rsidP="009C3537">
            <w:pPr>
              <w:jc w:val="both"/>
            </w:pPr>
            <w:bookmarkStart w:id="3" w:name="_Hlk38877267"/>
            <w:r>
              <w:rPr>
                <w:lang w:bidi="es-ES"/>
              </w:rPr>
              <w:t xml:space="preserve">Además, todos los datos personales pueden ser tratados: </w:t>
            </w:r>
          </w:p>
          <w:p w14:paraId="710749D3" w14:textId="6545F6C6" w:rsidR="009C3537" w:rsidRDefault="00AB78AA" w:rsidP="00AB78AA">
            <w:pPr>
              <w:numPr>
                <w:ilvl w:val="0"/>
                <w:numId w:val="7"/>
              </w:numPr>
              <w:jc w:val="both"/>
            </w:pPr>
            <w:r>
              <w:rPr>
                <w:lang w:bidi="es-ES"/>
              </w:rPr>
              <w:t>para fines relacionados con las obligaciones establecidas por la ley, así como por las disposiciones dictadas por las autoridades facultadas para ello por la ley (ref. Art. 6(c) y 9(</w:t>
            </w:r>
            <w:r w:rsidR="00FE66C8">
              <w:rPr>
                <w:lang w:bidi="es-ES"/>
              </w:rPr>
              <w:t>b, g, h</w:t>
            </w:r>
            <w:r>
              <w:rPr>
                <w:lang w:bidi="es-ES"/>
              </w:rPr>
              <w:t xml:space="preserve">) del RGPD); </w:t>
            </w:r>
          </w:p>
          <w:p w14:paraId="3FA819E4" w14:textId="77777777" w:rsidR="009C3537" w:rsidRDefault="009C3537" w:rsidP="00AB78AA">
            <w:pPr>
              <w:numPr>
                <w:ilvl w:val="0"/>
                <w:numId w:val="7"/>
              </w:numPr>
              <w:jc w:val="both"/>
            </w:pPr>
            <w:r w:rsidRPr="007C4BEB">
              <w:rPr>
                <w:lang w:bidi="es-ES"/>
              </w:rPr>
              <w:t xml:space="preserve">para el establecimiento, el ejercicio o la defensa de un derecho judicial y extrajudicial (interés legítimo) de la organización firmante (ref. art. 6(f) y 9(f) del RGPD); </w:t>
            </w:r>
          </w:p>
          <w:p w14:paraId="2EF60B95" w14:textId="77777777" w:rsidR="00F106F2" w:rsidRDefault="00F106F2" w:rsidP="00AB78AA">
            <w:pPr>
              <w:numPr>
                <w:ilvl w:val="0"/>
                <w:numId w:val="7"/>
              </w:numPr>
              <w:jc w:val="both"/>
            </w:pPr>
            <w:bookmarkStart w:id="4" w:name="_Hlk38877451"/>
            <w:bookmarkEnd w:id="3"/>
            <w:r>
              <w:rPr>
                <w:lang w:bidi="es-ES"/>
              </w:rPr>
              <w:t xml:space="preserve">para fines de marketing directo </w:t>
            </w:r>
            <w:bookmarkEnd w:id="4"/>
            <w:r>
              <w:rPr>
                <w:lang w:bidi="es-ES"/>
              </w:rPr>
              <w:t xml:space="preserve">de acuerdo con el interés legítimo del responsable del tratamiento en particular; para las cookies, los identificadores de publicidad utilizados para mostrar anuncios y avisos; para las direcciones de correo electrónico para enviar el boletín de noticias; para los registros de navegación y uso para proteger el portal y el servicio de los ciberataques; en estos casos, el interesado siempre puede denegar el consentimiento para que el responsable del tratamiento se abstenga de tratarlo (ref. art. 6(f) del RGPD); </w:t>
            </w:r>
          </w:p>
          <w:p w14:paraId="30271F1C" w14:textId="77777777" w:rsidR="009C3537" w:rsidRDefault="00AB78AA" w:rsidP="00AB78AA">
            <w:pPr>
              <w:numPr>
                <w:ilvl w:val="0"/>
                <w:numId w:val="7"/>
              </w:numPr>
              <w:jc w:val="both"/>
            </w:pPr>
            <w:r>
              <w:rPr>
                <w:lang w:bidi="es-ES"/>
              </w:rPr>
              <w:t xml:space="preserve">para fines funcionales a la actividad para la que el interesado puede o no dar su consentimiento, como, por ejemplo, la suscripción al boletín de noticias para recibir información y mensajes promocionales y de venta de productos y servicios, encuestas de satisfacción, </w:t>
            </w:r>
            <w:bookmarkStart w:id="5" w:name="_Hlk38877534"/>
            <w:r>
              <w:rPr>
                <w:lang w:bidi="es-ES"/>
              </w:rPr>
              <w:t xml:space="preserve">comunicación de datos a terceros </w:t>
            </w:r>
            <w:bookmarkEnd w:id="5"/>
            <w:r>
              <w:rPr>
                <w:lang w:bidi="es-ES"/>
              </w:rPr>
              <w:t>para recibir información y comunicaciones promocionales y de marketing (RGPD art.6(a))</w:t>
            </w:r>
          </w:p>
          <w:p w14:paraId="44EF6DD2" w14:textId="77777777" w:rsidR="00AB78AA" w:rsidRPr="007F5832" w:rsidRDefault="00AB78AA" w:rsidP="00AB78AA">
            <w:pPr>
              <w:numPr>
                <w:ilvl w:val="0"/>
                <w:numId w:val="7"/>
              </w:numPr>
              <w:jc w:val="both"/>
            </w:pPr>
            <w:r w:rsidRPr="007F5832">
              <w:rPr>
                <w:lang w:bidi="es-ES"/>
              </w:rPr>
              <w:t>con el consentimiento del interesado, para la elaboración de perfiles del interesado (ref. Art. 6(a) RGPD)</w:t>
            </w:r>
          </w:p>
          <w:p w14:paraId="3054E6EF" w14:textId="69770664" w:rsidR="009C3537" w:rsidRDefault="009C3537" w:rsidP="007F5832">
            <w:pPr>
              <w:ind w:left="720"/>
              <w:jc w:val="both"/>
            </w:pPr>
          </w:p>
        </w:tc>
      </w:tr>
      <w:tr w:rsidR="009C3537" w14:paraId="6A0775E5" w14:textId="77777777" w:rsidTr="004327D8">
        <w:tc>
          <w:tcPr>
            <w:tcW w:w="2438" w:type="dxa"/>
            <w:tcBorders>
              <w:top w:val="nil"/>
              <w:left w:val="nil"/>
              <w:bottom w:val="nil"/>
              <w:right w:val="nil"/>
            </w:tcBorders>
          </w:tcPr>
          <w:p w14:paraId="6D505CE8" w14:textId="77777777" w:rsidR="009C3537" w:rsidRPr="00C276C8" w:rsidRDefault="009C3537" w:rsidP="009C3537">
            <w:r w:rsidRPr="001A5E4F">
              <w:rPr>
                <w:b/>
                <w:lang w:bidi="es-ES"/>
              </w:rPr>
              <w:lastRenderedPageBreak/>
              <w:t>13 co.1 let. b/c)</w:t>
            </w:r>
          </w:p>
        </w:tc>
        <w:tc>
          <w:tcPr>
            <w:tcW w:w="1644" w:type="dxa"/>
            <w:tcBorders>
              <w:top w:val="nil"/>
              <w:left w:val="nil"/>
              <w:bottom w:val="nil"/>
              <w:right w:val="nil"/>
            </w:tcBorders>
          </w:tcPr>
          <w:p w14:paraId="3F090FE4" w14:textId="77777777" w:rsidR="009C3537" w:rsidRPr="00C276C8" w:rsidRDefault="009C3537" w:rsidP="009C3537">
            <w:r w:rsidRPr="001A5E4F">
              <w:rPr>
                <w:b/>
                <w:lang w:bidi="es-ES"/>
              </w:rPr>
              <w:t>13 co.2 let. e)</w:t>
            </w:r>
          </w:p>
        </w:tc>
        <w:tc>
          <w:tcPr>
            <w:tcW w:w="850" w:type="dxa"/>
            <w:tcBorders>
              <w:top w:val="nil"/>
              <w:left w:val="nil"/>
              <w:bottom w:val="nil"/>
              <w:right w:val="nil"/>
            </w:tcBorders>
          </w:tcPr>
          <w:p w14:paraId="59B36EF9" w14:textId="77777777" w:rsidR="009C3537" w:rsidRPr="00C276C8" w:rsidRDefault="009C3537" w:rsidP="009C3537"/>
        </w:tc>
        <w:tc>
          <w:tcPr>
            <w:tcW w:w="1759" w:type="dxa"/>
            <w:tcBorders>
              <w:top w:val="nil"/>
              <w:left w:val="nil"/>
              <w:bottom w:val="nil"/>
              <w:right w:val="nil"/>
            </w:tcBorders>
          </w:tcPr>
          <w:p w14:paraId="53B53BCB" w14:textId="77777777" w:rsidR="009C3537" w:rsidRPr="007A6F5B" w:rsidRDefault="009C3537" w:rsidP="009C3537">
            <w:pPr>
              <w:jc w:val="center"/>
            </w:pPr>
          </w:p>
          <w:p w14:paraId="6AC3C5D1" w14:textId="77777777" w:rsidR="009C3537" w:rsidRPr="007A6F5B" w:rsidRDefault="009C3537" w:rsidP="009C3537">
            <w:pPr>
              <w:jc w:val="center"/>
            </w:pPr>
            <w:r w:rsidRPr="007A6F5B">
              <w:rPr>
                <w:lang w:bidi="es-ES"/>
              </w:rPr>
              <w:t>CONSECUENCIAS DE LA NEGATIVA A PROPORCIONAR DATOS</w:t>
            </w:r>
          </w:p>
          <w:p w14:paraId="7388D26B" w14:textId="77777777" w:rsidR="009C3537" w:rsidRPr="007A6F5B" w:rsidRDefault="009C3537" w:rsidP="009C3537">
            <w:pPr>
              <w:jc w:val="center"/>
            </w:pPr>
          </w:p>
        </w:tc>
        <w:tc>
          <w:tcPr>
            <w:tcW w:w="8844" w:type="dxa"/>
            <w:tcBorders>
              <w:top w:val="nil"/>
              <w:left w:val="nil"/>
              <w:bottom w:val="nil"/>
              <w:right w:val="nil"/>
            </w:tcBorders>
          </w:tcPr>
          <w:p w14:paraId="62FD377F" w14:textId="769A3AFA" w:rsidR="00AB78AA" w:rsidRDefault="009C3537" w:rsidP="00AB78AA">
            <w:pPr>
              <w:jc w:val="both"/>
            </w:pPr>
            <w:r w:rsidRPr="00F012B7">
              <w:rPr>
                <w:lang w:bidi="es-ES"/>
              </w:rPr>
              <w:t xml:space="preserve">El suministro de los datos recogidos del interesado es facultativo pero indispensable para el tratamiento de </w:t>
            </w:r>
            <w:proofErr w:type="gramStart"/>
            <w:r w:rsidRPr="00F012B7">
              <w:rPr>
                <w:lang w:bidi="es-ES"/>
              </w:rPr>
              <w:t>los mismos</w:t>
            </w:r>
            <w:proofErr w:type="gramEnd"/>
            <w:r w:rsidRPr="00F012B7">
              <w:rPr>
                <w:lang w:bidi="es-ES"/>
              </w:rPr>
              <w:t xml:space="preserve"> para los fines establecidos en la letra a). En el caso de que los interesados no comuniquen sus datos imprescindibles y no permitan su tratamiento, no se podrá proceder a la realización y ejecución de los servicios ofrecidos y al cumplimiento de las obligaciones contractuales asumidas, con el consiguiente perjuicio para el correcto cumplimiento de las obligaciones normativas, tales como las contables, fiscales, administrativas, etc. </w:t>
            </w:r>
          </w:p>
          <w:p w14:paraId="2747013E" w14:textId="100880EA" w:rsidR="009C3537" w:rsidRDefault="00673556" w:rsidP="00AB78AA">
            <w:pPr>
              <w:jc w:val="both"/>
            </w:pPr>
            <w:r w:rsidRPr="00AB78AA">
              <w:rPr>
                <w:i/>
                <w:lang w:bidi="es-ES"/>
              </w:rPr>
              <w:t xml:space="preserve">Aparte de lo especificado para los datos de navegación, el usuario es libre de proporcionar datos personales para las cookies y solicitudes específicas a través de formularios, por ejemplo, sobre productos y/o servicios. El hecho de no proporcionarlos puede suponer la imposibilidad de obtener lo solicitado. </w:t>
            </w:r>
            <w:r w:rsidRPr="00AB78AA">
              <w:rPr>
                <w:lang w:bidi="es-ES"/>
              </w:rPr>
              <w:t xml:space="preserve">Para todos los datos no esenciales, la provisión de datos es opcional. La falta de consentimiento o la provisión incompleta o errónea de determinados datos, podría dar lugar a un cumplimiento tan incompleto como perjudicial o en términos de sanciones o pérdida de beneficios, ya sea por la imposibilidad de garantizar la congruencia del propio tratamiento con las obligaciones para las que se lleva a cabo, o porque los resultados del propio tratamiento pueden no corresponder a las obligaciones impuestas por las leyes a las que se dirige, entendiéndose la organización firmante exenta de toda responsabilidad por cualquier sanción o medida aflictiva. </w:t>
            </w:r>
          </w:p>
        </w:tc>
      </w:tr>
      <w:tr w:rsidR="009C3537" w14:paraId="023BF096" w14:textId="77777777" w:rsidTr="004327D8">
        <w:tc>
          <w:tcPr>
            <w:tcW w:w="2438" w:type="dxa"/>
            <w:tcBorders>
              <w:top w:val="nil"/>
              <w:left w:val="nil"/>
              <w:bottom w:val="nil"/>
              <w:right w:val="nil"/>
            </w:tcBorders>
          </w:tcPr>
          <w:p w14:paraId="3B42D23F" w14:textId="77777777" w:rsidR="009C3537" w:rsidRPr="0096352D" w:rsidRDefault="009C3537" w:rsidP="009C3537">
            <w:pPr>
              <w:jc w:val="center"/>
            </w:pPr>
          </w:p>
        </w:tc>
        <w:tc>
          <w:tcPr>
            <w:tcW w:w="1644" w:type="dxa"/>
            <w:tcBorders>
              <w:top w:val="nil"/>
              <w:left w:val="nil"/>
              <w:bottom w:val="nil"/>
              <w:right w:val="nil"/>
            </w:tcBorders>
          </w:tcPr>
          <w:p w14:paraId="0D887EA0" w14:textId="77777777" w:rsidR="009C3537" w:rsidRPr="0096352D" w:rsidRDefault="009C3537" w:rsidP="009C3537">
            <w:pPr>
              <w:jc w:val="center"/>
            </w:pPr>
          </w:p>
        </w:tc>
        <w:tc>
          <w:tcPr>
            <w:tcW w:w="850" w:type="dxa"/>
            <w:tcBorders>
              <w:top w:val="nil"/>
              <w:left w:val="nil"/>
              <w:bottom w:val="nil"/>
              <w:right w:val="nil"/>
            </w:tcBorders>
          </w:tcPr>
          <w:p w14:paraId="486E7B65" w14:textId="77777777" w:rsidR="009C3537" w:rsidRPr="0096352D" w:rsidRDefault="009C3537" w:rsidP="009C3537">
            <w:pPr>
              <w:jc w:val="center"/>
            </w:pPr>
          </w:p>
        </w:tc>
        <w:tc>
          <w:tcPr>
            <w:tcW w:w="1759" w:type="dxa"/>
            <w:tcBorders>
              <w:top w:val="nil"/>
              <w:left w:val="nil"/>
              <w:bottom w:val="nil"/>
              <w:right w:val="nil"/>
            </w:tcBorders>
          </w:tcPr>
          <w:p w14:paraId="51809F2B" w14:textId="77777777" w:rsidR="009C3537" w:rsidRPr="007A6F5B" w:rsidRDefault="009C3537" w:rsidP="009C3537">
            <w:pPr>
              <w:jc w:val="center"/>
            </w:pPr>
            <w:r w:rsidRPr="007A6F5B">
              <w:rPr>
                <w:noProof/>
                <w:lang w:bidi="es-ES"/>
              </w:rPr>
              <w:drawing>
                <wp:inline distT="0" distB="0" distL="0" distR="0" wp14:anchorId="644F8BF7" wp14:editId="5AB96D81">
                  <wp:extent cx="780774" cy="780774"/>
                  <wp:effectExtent l="0" t="0" r="63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0774" cy="780774"/>
                          </a:xfrm>
                          <a:prstGeom prst="rect">
                            <a:avLst/>
                          </a:prstGeom>
                        </pic:spPr>
                      </pic:pic>
                    </a:graphicData>
                  </a:graphic>
                </wp:inline>
              </w:drawing>
            </w:r>
          </w:p>
          <w:p w14:paraId="4E67076B" w14:textId="77777777" w:rsidR="009C3537" w:rsidRPr="007A6F5B" w:rsidRDefault="009C3537" w:rsidP="009C3537">
            <w:pPr>
              <w:jc w:val="center"/>
            </w:pPr>
          </w:p>
          <w:p w14:paraId="619462B2" w14:textId="2B14A432" w:rsidR="009C3537" w:rsidRDefault="009C3537" w:rsidP="00EF3EF6">
            <w:pPr>
              <w:ind w:right="-118"/>
              <w:jc w:val="center"/>
            </w:pPr>
            <w:r w:rsidRPr="007A6F5B">
              <w:rPr>
                <w:lang w:bidi="es-ES"/>
              </w:rPr>
              <w:t>MODALIDADES DE PROCESAMIEN</w:t>
            </w:r>
            <w:r w:rsidR="00EF3EF6">
              <w:rPr>
                <w:lang w:bidi="es-ES"/>
              </w:rPr>
              <w:t>T</w:t>
            </w:r>
            <w:r w:rsidRPr="007A6F5B">
              <w:rPr>
                <w:lang w:bidi="es-ES"/>
              </w:rPr>
              <w:t>O DE DATOS</w:t>
            </w:r>
          </w:p>
          <w:p w14:paraId="149B23CE" w14:textId="77777777" w:rsidR="009C3537" w:rsidRDefault="009C3537" w:rsidP="009C3537">
            <w:pPr>
              <w:jc w:val="center"/>
            </w:pPr>
          </w:p>
          <w:p w14:paraId="1EB940D9" w14:textId="77777777" w:rsidR="009C3537" w:rsidRDefault="009C3537" w:rsidP="009C3537">
            <w:pPr>
              <w:jc w:val="center"/>
            </w:pPr>
          </w:p>
          <w:p w14:paraId="43F98259" w14:textId="77777777" w:rsidR="009C3537" w:rsidRDefault="009C3537" w:rsidP="009C3537">
            <w:pPr>
              <w:jc w:val="center"/>
            </w:pPr>
          </w:p>
          <w:p w14:paraId="560A6F0A" w14:textId="77777777" w:rsidR="009C3537" w:rsidRDefault="009C3537" w:rsidP="009C3537">
            <w:pPr>
              <w:jc w:val="center"/>
            </w:pPr>
          </w:p>
          <w:p w14:paraId="6952C33F" w14:textId="77777777" w:rsidR="009C3537" w:rsidRPr="007A6F5B" w:rsidRDefault="009C3537" w:rsidP="009C3537"/>
          <w:p w14:paraId="27194851" w14:textId="77777777" w:rsidR="009C3537" w:rsidRPr="007A6F5B" w:rsidRDefault="009C3537" w:rsidP="009C3537">
            <w:pPr>
              <w:jc w:val="center"/>
            </w:pPr>
            <w:r w:rsidRPr="007A6F5B">
              <w:rPr>
                <w:noProof/>
                <w:lang w:bidi="es-ES"/>
              </w:rPr>
              <w:drawing>
                <wp:inline distT="0" distB="0" distL="0" distR="0" wp14:anchorId="16AAC17C" wp14:editId="2FCD80CC">
                  <wp:extent cx="780774" cy="780774"/>
                  <wp:effectExtent l="0" t="0" r="635"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0774" cy="780774"/>
                          </a:xfrm>
                          <a:prstGeom prst="rect">
                            <a:avLst/>
                          </a:prstGeom>
                        </pic:spPr>
                      </pic:pic>
                    </a:graphicData>
                  </a:graphic>
                </wp:inline>
              </w:drawing>
            </w:r>
          </w:p>
        </w:tc>
        <w:tc>
          <w:tcPr>
            <w:tcW w:w="8844" w:type="dxa"/>
            <w:tcBorders>
              <w:top w:val="nil"/>
              <w:left w:val="nil"/>
              <w:bottom w:val="nil"/>
              <w:right w:val="nil"/>
            </w:tcBorders>
          </w:tcPr>
          <w:p w14:paraId="0FF80BA5" w14:textId="354FF532" w:rsidR="00673556" w:rsidRDefault="00673556" w:rsidP="00673556">
            <w:pPr>
              <w:jc w:val="both"/>
            </w:pPr>
            <w:r>
              <w:rPr>
                <w:lang w:bidi="es-ES"/>
              </w:rPr>
              <w:t>Los tratamientos relacionados con los servicios web del portal son tratados por herramientas automatizadas durante el tiempo estrictamente necesario para lograr los fines para los que fueron recogidos</w:t>
            </w:r>
            <w:bookmarkStart w:id="6" w:name="_Hlk38877639"/>
            <w:r>
              <w:rPr>
                <w:lang w:bidi="es-ES"/>
              </w:rPr>
              <w:t xml:space="preserve">; tienen lugar en el servidor en Italia o en la UE </w:t>
            </w:r>
            <w:bookmarkEnd w:id="6"/>
            <w:r>
              <w:rPr>
                <w:lang w:bidi="es-ES"/>
              </w:rPr>
              <w:t>y son manejados únicamente por el personal técnico encargado del procesamiento, o por cualquier persona encargada de las operaciones de mantenimiento y administración. Se observan medidas de seguridad específicas para evitar la pérdida de datos, el uso ilícito o incorrecto y el acceso no autorizado y la pérdida de confidencialidad. Las instalaciones están equipadas con dispositivos anti-</w:t>
            </w:r>
            <w:r w:rsidR="00FE66C8">
              <w:rPr>
                <w:lang w:bidi="es-ES"/>
              </w:rPr>
              <w:t>intrusión, firewall</w:t>
            </w:r>
            <w:r>
              <w:rPr>
                <w:lang w:bidi="es-ES"/>
              </w:rPr>
              <w:t>, log y disaster recovery. Se utilizan mecanismos específicos de cifrado y segregación de datos y de autenticación y autorización de usuarios.</w:t>
            </w:r>
          </w:p>
          <w:p w14:paraId="39E35F9B" w14:textId="77777777" w:rsidR="00673556" w:rsidRDefault="009C3537" w:rsidP="00673556">
            <w:pPr>
              <w:jc w:val="both"/>
              <w:rPr>
                <w:highlight w:val="darkYellow"/>
              </w:rPr>
            </w:pPr>
            <w:r w:rsidRPr="005B6210">
              <w:rPr>
                <w:lang w:bidi="es-ES"/>
              </w:rPr>
              <w:t xml:space="preserve">Por tratamiento de datos se entiende su recogida, registro, organización, almacenamiento, tratamiento, modificación, supresión y destrucción o la combinación de dos o más de estas operaciones. En relación con las finalidades mencionadas, los datos personales se tratan con medios manuales, informáticos y telemáticos, con una lógica estrictamente relacionada con dichas finalidades y, en cualquier caso, de forma que se garantice la seguridad y la confidencialidad de los datos personales, por lo que se tratarán de acuerdo con las modalidades indicadas en el artículo. 5 Reg. UE 2016/679, que establece, entre otras cosas, que los datos se tratarán de forma lícita y leal, se recogerán y registrarán con fines determinados, explícitos y legítimos, serán exactos y, en su caso, actualizados, pertinentes, completos y no excesivos en relación con los fines del tratamiento, respetando los derechos y libertades fundamentales, así como la dignidad del interesado con especial referencia a la confidencialidad y a la identidad personal, mediante medidas de protección y seguridad. La organización ha establecido y seguirá perfeccionando el sistema de seguridad para el acceso y almacenamiento de datos. </w:t>
            </w:r>
          </w:p>
          <w:p w14:paraId="62D78CA8" w14:textId="5BE95578" w:rsidR="009C3537" w:rsidRDefault="009C3537" w:rsidP="00673556">
            <w:pPr>
              <w:jc w:val="both"/>
            </w:pPr>
          </w:p>
        </w:tc>
      </w:tr>
      <w:tr w:rsidR="00673556" w14:paraId="0E38CA7D" w14:textId="77777777" w:rsidTr="004327D8">
        <w:tc>
          <w:tcPr>
            <w:tcW w:w="2438" w:type="dxa"/>
            <w:tcBorders>
              <w:top w:val="nil"/>
              <w:left w:val="nil"/>
              <w:bottom w:val="nil"/>
              <w:right w:val="nil"/>
            </w:tcBorders>
          </w:tcPr>
          <w:p w14:paraId="50895F04" w14:textId="77777777" w:rsidR="00673556" w:rsidRPr="0096352D" w:rsidRDefault="00673556" w:rsidP="00673556">
            <w:pPr>
              <w:jc w:val="center"/>
            </w:pPr>
          </w:p>
        </w:tc>
        <w:tc>
          <w:tcPr>
            <w:tcW w:w="1644" w:type="dxa"/>
            <w:tcBorders>
              <w:top w:val="nil"/>
              <w:left w:val="nil"/>
              <w:bottom w:val="nil"/>
              <w:right w:val="nil"/>
            </w:tcBorders>
          </w:tcPr>
          <w:p w14:paraId="410F02F5" w14:textId="77777777" w:rsidR="00673556" w:rsidRPr="0096352D" w:rsidRDefault="00673556" w:rsidP="00673556">
            <w:pPr>
              <w:jc w:val="center"/>
            </w:pPr>
            <w:r w:rsidRPr="001A5E4F">
              <w:rPr>
                <w:b/>
                <w:lang w:bidi="es-ES"/>
              </w:rPr>
              <w:t>13/14 co.1 let. f)</w:t>
            </w:r>
          </w:p>
        </w:tc>
        <w:tc>
          <w:tcPr>
            <w:tcW w:w="850" w:type="dxa"/>
            <w:tcBorders>
              <w:top w:val="nil"/>
              <w:left w:val="nil"/>
              <w:bottom w:val="nil"/>
              <w:right w:val="nil"/>
            </w:tcBorders>
          </w:tcPr>
          <w:p w14:paraId="77F14E10" w14:textId="77777777" w:rsidR="00673556" w:rsidRPr="001A5E4F" w:rsidRDefault="00673556" w:rsidP="00673556">
            <w:pPr>
              <w:jc w:val="center"/>
            </w:pPr>
          </w:p>
        </w:tc>
        <w:tc>
          <w:tcPr>
            <w:tcW w:w="1759" w:type="dxa"/>
            <w:tcBorders>
              <w:top w:val="nil"/>
              <w:left w:val="nil"/>
              <w:bottom w:val="nil"/>
              <w:right w:val="nil"/>
            </w:tcBorders>
          </w:tcPr>
          <w:p w14:paraId="7F4CAC93" w14:textId="447CD5A1" w:rsidR="00673556" w:rsidRPr="007A6F5B" w:rsidRDefault="00673556" w:rsidP="00673556">
            <w:pPr>
              <w:jc w:val="center"/>
            </w:pPr>
          </w:p>
        </w:tc>
        <w:tc>
          <w:tcPr>
            <w:tcW w:w="8844" w:type="dxa"/>
            <w:tcBorders>
              <w:top w:val="nil"/>
              <w:left w:val="nil"/>
              <w:bottom w:val="nil"/>
              <w:right w:val="nil"/>
            </w:tcBorders>
          </w:tcPr>
          <w:p w14:paraId="3B8591D7" w14:textId="041C66F2" w:rsidR="00673556" w:rsidRPr="00673556" w:rsidRDefault="00FF1E8D" w:rsidP="00673556">
            <w:pPr>
              <w:jc w:val="both"/>
              <w:rPr>
                <w:highlight w:val="yellow"/>
              </w:rPr>
            </w:pPr>
            <w:r w:rsidRPr="00285B67">
              <w:rPr>
                <w:lang w:bidi="es-ES"/>
              </w:rPr>
              <w:t>El tratamiento se realizará en Italia y en la UE</w:t>
            </w:r>
          </w:p>
        </w:tc>
      </w:tr>
      <w:tr w:rsidR="00673556" w14:paraId="1D44B973" w14:textId="77777777" w:rsidTr="004327D8">
        <w:tc>
          <w:tcPr>
            <w:tcW w:w="2438" w:type="dxa"/>
            <w:tcBorders>
              <w:top w:val="nil"/>
              <w:left w:val="nil"/>
              <w:bottom w:val="nil"/>
              <w:right w:val="nil"/>
            </w:tcBorders>
          </w:tcPr>
          <w:p w14:paraId="33BCC7AC" w14:textId="77777777" w:rsidR="00673556" w:rsidRPr="0096352D" w:rsidRDefault="00673556" w:rsidP="00673556">
            <w:pPr>
              <w:jc w:val="center"/>
            </w:pPr>
          </w:p>
        </w:tc>
        <w:tc>
          <w:tcPr>
            <w:tcW w:w="1644" w:type="dxa"/>
            <w:tcBorders>
              <w:top w:val="nil"/>
              <w:left w:val="nil"/>
              <w:bottom w:val="nil"/>
              <w:right w:val="nil"/>
            </w:tcBorders>
          </w:tcPr>
          <w:p w14:paraId="6C44D60B" w14:textId="77777777" w:rsidR="00673556" w:rsidRPr="0096352D" w:rsidRDefault="00673556" w:rsidP="00673556">
            <w:pPr>
              <w:jc w:val="center"/>
            </w:pPr>
            <w:r w:rsidRPr="001A5E4F">
              <w:rPr>
                <w:b/>
                <w:lang w:bidi="es-ES"/>
              </w:rPr>
              <w:t>13/14 co.2 let. (a)</w:t>
            </w:r>
          </w:p>
        </w:tc>
        <w:tc>
          <w:tcPr>
            <w:tcW w:w="850" w:type="dxa"/>
            <w:tcBorders>
              <w:top w:val="nil"/>
              <w:left w:val="nil"/>
              <w:bottom w:val="nil"/>
              <w:right w:val="nil"/>
            </w:tcBorders>
          </w:tcPr>
          <w:p w14:paraId="27D4458E" w14:textId="77777777" w:rsidR="00673556" w:rsidRDefault="00673556" w:rsidP="00673556">
            <w:pPr>
              <w:jc w:val="center"/>
            </w:pPr>
          </w:p>
        </w:tc>
        <w:tc>
          <w:tcPr>
            <w:tcW w:w="1759" w:type="dxa"/>
            <w:tcBorders>
              <w:top w:val="nil"/>
              <w:left w:val="nil"/>
              <w:bottom w:val="nil"/>
              <w:right w:val="nil"/>
            </w:tcBorders>
          </w:tcPr>
          <w:p w14:paraId="157D1F3F" w14:textId="77777777" w:rsidR="00673556" w:rsidRPr="007A6F5B" w:rsidRDefault="00673556" w:rsidP="00673556">
            <w:pPr>
              <w:jc w:val="center"/>
            </w:pPr>
            <w:r w:rsidRPr="007A6F5B">
              <w:rPr>
                <w:lang w:bidi="es-ES"/>
              </w:rPr>
              <w:t>PERÍODO DE CONSERVACIÓN DE DATOS</w:t>
            </w:r>
          </w:p>
        </w:tc>
        <w:tc>
          <w:tcPr>
            <w:tcW w:w="8844" w:type="dxa"/>
            <w:tcBorders>
              <w:top w:val="nil"/>
              <w:left w:val="nil"/>
              <w:bottom w:val="nil"/>
              <w:right w:val="nil"/>
            </w:tcBorders>
          </w:tcPr>
          <w:p w14:paraId="7C247260" w14:textId="77777777" w:rsidR="00673556" w:rsidRPr="005B6210" w:rsidRDefault="00673556" w:rsidP="00673556">
            <w:pPr>
              <w:jc w:val="both"/>
            </w:pPr>
            <w:r w:rsidRPr="001C5449">
              <w:rPr>
                <w:lang w:bidi="es-ES"/>
              </w:rPr>
              <w:t>Los datos personales se conservarán, en general, mientras dure la finalidad del tratamiento, en función de la categoría de datos tratados.</w:t>
            </w:r>
          </w:p>
        </w:tc>
      </w:tr>
      <w:tr w:rsidR="00673556" w14:paraId="3D692F96" w14:textId="77777777" w:rsidTr="004327D8">
        <w:tc>
          <w:tcPr>
            <w:tcW w:w="2438" w:type="dxa"/>
            <w:tcBorders>
              <w:top w:val="nil"/>
              <w:left w:val="nil"/>
              <w:bottom w:val="nil"/>
              <w:right w:val="nil"/>
            </w:tcBorders>
          </w:tcPr>
          <w:p w14:paraId="708B2BE5" w14:textId="77777777" w:rsidR="00673556" w:rsidRPr="009B05B8" w:rsidRDefault="00673556" w:rsidP="00673556">
            <w:pPr>
              <w:jc w:val="center"/>
            </w:pPr>
            <w:r w:rsidRPr="001A5E4F">
              <w:rPr>
                <w:b/>
                <w:lang w:bidi="es-ES"/>
              </w:rPr>
              <w:t>13/14 co.2 let. a)</w:t>
            </w:r>
          </w:p>
        </w:tc>
        <w:tc>
          <w:tcPr>
            <w:tcW w:w="1644" w:type="dxa"/>
            <w:tcBorders>
              <w:top w:val="nil"/>
              <w:left w:val="nil"/>
              <w:bottom w:val="nil"/>
              <w:right w:val="nil"/>
            </w:tcBorders>
          </w:tcPr>
          <w:p w14:paraId="261FD619" w14:textId="77777777" w:rsidR="00673556" w:rsidRPr="009B05B8" w:rsidRDefault="00673556" w:rsidP="00673556">
            <w:pPr>
              <w:jc w:val="center"/>
            </w:pPr>
            <w:r w:rsidRPr="001A5E4F">
              <w:rPr>
                <w:b/>
                <w:lang w:bidi="es-ES"/>
              </w:rPr>
              <w:t>13/14 co.1 let. e)</w:t>
            </w:r>
          </w:p>
        </w:tc>
        <w:tc>
          <w:tcPr>
            <w:tcW w:w="850" w:type="dxa"/>
            <w:tcBorders>
              <w:top w:val="nil"/>
              <w:left w:val="nil"/>
              <w:bottom w:val="nil"/>
              <w:right w:val="nil"/>
            </w:tcBorders>
          </w:tcPr>
          <w:p w14:paraId="2E6531C2" w14:textId="77777777" w:rsidR="00673556" w:rsidRPr="009B05B8" w:rsidRDefault="00673556" w:rsidP="00673556">
            <w:pPr>
              <w:jc w:val="center"/>
            </w:pPr>
          </w:p>
        </w:tc>
        <w:tc>
          <w:tcPr>
            <w:tcW w:w="1759" w:type="dxa"/>
            <w:tcBorders>
              <w:top w:val="nil"/>
              <w:left w:val="nil"/>
              <w:bottom w:val="nil"/>
              <w:right w:val="nil"/>
            </w:tcBorders>
          </w:tcPr>
          <w:p w14:paraId="7B32AD8C" w14:textId="77777777" w:rsidR="00673556" w:rsidRPr="007A6F5B" w:rsidRDefault="00673556" w:rsidP="00673556">
            <w:pPr>
              <w:jc w:val="center"/>
            </w:pPr>
            <w:r w:rsidRPr="007A6F5B">
              <w:rPr>
                <w:noProof/>
                <w:lang w:bidi="es-ES"/>
              </w:rPr>
              <w:drawing>
                <wp:inline distT="0" distB="0" distL="0" distR="0" wp14:anchorId="79D2E846" wp14:editId="2B25C14A">
                  <wp:extent cx="780774" cy="780774"/>
                  <wp:effectExtent l="0" t="0" r="635"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0774" cy="780774"/>
                          </a:xfrm>
                          <a:prstGeom prst="rect">
                            <a:avLst/>
                          </a:prstGeom>
                        </pic:spPr>
                      </pic:pic>
                    </a:graphicData>
                  </a:graphic>
                </wp:inline>
              </w:drawing>
            </w:r>
          </w:p>
          <w:p w14:paraId="6238DE66" w14:textId="77777777" w:rsidR="00673556" w:rsidRPr="007A6F5B" w:rsidRDefault="00673556" w:rsidP="00673556">
            <w:pPr>
              <w:jc w:val="center"/>
            </w:pPr>
          </w:p>
          <w:p w14:paraId="3AB8E9B7" w14:textId="77777777" w:rsidR="00673556" w:rsidRPr="007A6F5B" w:rsidRDefault="00673556" w:rsidP="00673556">
            <w:pPr>
              <w:jc w:val="center"/>
            </w:pPr>
            <w:r w:rsidRPr="007A6F5B">
              <w:rPr>
                <w:lang w:bidi="es-ES"/>
              </w:rPr>
              <w:t>CATEGORÍAS DE DESTINATARIOS</w:t>
            </w:r>
          </w:p>
          <w:p w14:paraId="62EAD237" w14:textId="77777777" w:rsidR="00673556" w:rsidRPr="007A6F5B" w:rsidRDefault="00673556" w:rsidP="00673556">
            <w:pPr>
              <w:jc w:val="center"/>
            </w:pPr>
          </w:p>
        </w:tc>
        <w:tc>
          <w:tcPr>
            <w:tcW w:w="8844" w:type="dxa"/>
            <w:tcBorders>
              <w:top w:val="nil"/>
              <w:left w:val="nil"/>
              <w:bottom w:val="nil"/>
              <w:right w:val="nil"/>
            </w:tcBorders>
          </w:tcPr>
          <w:p w14:paraId="658F85C8" w14:textId="77777777" w:rsidR="00673556" w:rsidRDefault="00673556" w:rsidP="00673556">
            <w:pPr>
              <w:jc w:val="both"/>
            </w:pPr>
            <w:r>
              <w:rPr>
                <w:lang w:bidi="es-ES"/>
              </w:rPr>
              <w:t>Los datos (sólo los indispensables) se comunican</w:t>
            </w:r>
          </w:p>
          <w:p w14:paraId="4E0C48E2" w14:textId="72B83B83" w:rsidR="00673556" w:rsidRPr="005B6210" w:rsidRDefault="00673556" w:rsidP="00673556">
            <w:pPr>
              <w:numPr>
                <w:ilvl w:val="0"/>
                <w:numId w:val="3"/>
              </w:numPr>
              <w:jc w:val="both"/>
            </w:pPr>
            <w:r w:rsidRPr="005B6210">
              <w:rPr>
                <w:lang w:bidi="es-ES"/>
              </w:rPr>
              <w:t>a los encargados y procesadores de datos, tanto internos de la organización del escritor como externos, que realizan tareas y operaciones específicas (administración del sitio, análisis de los datos de navegación, datos de tráfico, elaboración de perfiles, gestión de los correos electrónicos y formularios enviados voluntariamente por el usuario, etc.)</w:t>
            </w:r>
          </w:p>
          <w:p w14:paraId="4854F046" w14:textId="77777777" w:rsidR="00673556" w:rsidRPr="005B6210" w:rsidRDefault="00673556" w:rsidP="00673556">
            <w:pPr>
              <w:numPr>
                <w:ilvl w:val="0"/>
                <w:numId w:val="3"/>
              </w:numPr>
              <w:jc w:val="both"/>
            </w:pPr>
            <w:r w:rsidRPr="005B6210">
              <w:rPr>
                <w:lang w:bidi="es-ES"/>
              </w:rPr>
              <w:t xml:space="preserve">en los casos y a las personas previstas por la ley </w:t>
            </w:r>
          </w:p>
          <w:p w14:paraId="7D929607" w14:textId="77777777" w:rsidR="00673556" w:rsidRDefault="00673556" w:rsidP="00673556">
            <w:pPr>
              <w:jc w:val="both"/>
              <w:rPr>
                <w:color w:val="606060"/>
              </w:rPr>
            </w:pPr>
            <w:r w:rsidRPr="005B6210">
              <w:rPr>
                <w:lang w:bidi="es-ES"/>
              </w:rPr>
              <w:t>Los datos no se difundirán, salvo que la ley disponga lo contrario o tras su anonimato. Sin perjuicio de lo especificado para las cookies y elementos de terceros, sin el consentimiento general previo del interesado para las comunicaciones a terceros</w:t>
            </w:r>
            <w:r>
              <w:rPr>
                <w:color w:val="606060"/>
                <w:lang w:bidi="es-ES"/>
              </w:rPr>
              <w:t xml:space="preserve">, </w:t>
            </w:r>
            <w:r w:rsidRPr="005B6210">
              <w:rPr>
                <w:lang w:bidi="es-ES"/>
              </w:rPr>
              <w:t>sólo será posible realizar servicios que no contemplen dichas comunicaciones</w:t>
            </w:r>
            <w:r>
              <w:rPr>
                <w:color w:val="606060"/>
                <w:lang w:bidi="es-ES"/>
              </w:rPr>
              <w:t xml:space="preserve">. </w:t>
            </w:r>
            <w:r w:rsidRPr="005B6210">
              <w:rPr>
                <w:lang w:bidi="es-ES"/>
              </w:rPr>
              <w:t>En caso necesario, se solicitarán consentimientos específicos y precisos y los destinatarios de los datos los utilizarán como responsables autónomos del tratamiento</w:t>
            </w:r>
            <w:r>
              <w:rPr>
                <w:color w:val="606060"/>
                <w:lang w:bidi="es-ES"/>
              </w:rPr>
              <w:t>.</w:t>
            </w:r>
          </w:p>
          <w:p w14:paraId="7B927A42" w14:textId="77777777" w:rsidR="00673556" w:rsidRDefault="00673556" w:rsidP="00673556">
            <w:r>
              <w:rPr>
                <w:lang w:bidi="es-ES"/>
              </w:rPr>
              <w:lastRenderedPageBreak/>
              <w:t>En determinados casos (no cubiertos por la gestión ordinaria de este sitio), la Autoridad puede solicitar noticias e información con el fin de controlar el tratamiento de los datos personales. En estos casos, la respuesta es obligatoria bajo pena de sanción administrativa.</w:t>
            </w:r>
          </w:p>
        </w:tc>
      </w:tr>
      <w:tr w:rsidR="00011ED7" w14:paraId="27C49255" w14:textId="77777777" w:rsidTr="004327D8">
        <w:tc>
          <w:tcPr>
            <w:tcW w:w="2438" w:type="dxa"/>
            <w:tcBorders>
              <w:top w:val="nil"/>
              <w:left w:val="nil"/>
              <w:bottom w:val="nil"/>
              <w:right w:val="nil"/>
            </w:tcBorders>
          </w:tcPr>
          <w:p w14:paraId="07535FD8" w14:textId="77777777" w:rsidR="00011ED7" w:rsidRPr="009B05B8" w:rsidRDefault="00011ED7" w:rsidP="00011ED7">
            <w:pPr>
              <w:jc w:val="center"/>
            </w:pPr>
            <w:r w:rsidRPr="001A5E4F">
              <w:rPr>
                <w:b/>
                <w:lang w:bidi="es-ES"/>
              </w:rPr>
              <w:lastRenderedPageBreak/>
              <w:t>13 co.1 let. e)</w:t>
            </w:r>
          </w:p>
        </w:tc>
        <w:tc>
          <w:tcPr>
            <w:tcW w:w="1644" w:type="dxa"/>
            <w:tcBorders>
              <w:top w:val="nil"/>
              <w:left w:val="nil"/>
              <w:bottom w:val="nil"/>
              <w:right w:val="nil"/>
            </w:tcBorders>
          </w:tcPr>
          <w:p w14:paraId="2490867C" w14:textId="77777777" w:rsidR="00011ED7" w:rsidRPr="000E70D7" w:rsidRDefault="00011ED7" w:rsidP="00011ED7">
            <w:pPr>
              <w:jc w:val="center"/>
              <w:rPr>
                <w:b/>
                <w:bCs/>
                <w:lang w:val="en-GB"/>
              </w:rPr>
            </w:pPr>
            <w:r w:rsidRPr="00EF3EF6">
              <w:rPr>
                <w:b/>
                <w:lang w:val="en-US" w:bidi="es-ES"/>
              </w:rPr>
              <w:t>13/14 co.2 let. b/c)</w:t>
            </w:r>
          </w:p>
          <w:p w14:paraId="5784128B" w14:textId="77777777" w:rsidR="00011ED7" w:rsidRPr="000E70D7" w:rsidRDefault="00011ED7" w:rsidP="00011ED7">
            <w:pPr>
              <w:jc w:val="center"/>
              <w:rPr>
                <w:lang w:val="en-GB"/>
              </w:rPr>
            </w:pPr>
            <w:r w:rsidRPr="00EF3EF6">
              <w:rPr>
                <w:b/>
                <w:lang w:val="en-US" w:bidi="es-ES"/>
              </w:rPr>
              <w:t>13/14 co.2 let. d/e)</w:t>
            </w:r>
          </w:p>
        </w:tc>
        <w:tc>
          <w:tcPr>
            <w:tcW w:w="850" w:type="dxa"/>
            <w:tcBorders>
              <w:top w:val="nil"/>
              <w:left w:val="nil"/>
              <w:bottom w:val="nil"/>
              <w:right w:val="nil"/>
            </w:tcBorders>
          </w:tcPr>
          <w:p w14:paraId="00C853FD" w14:textId="77777777" w:rsidR="00011ED7" w:rsidRPr="00282B04" w:rsidRDefault="00011ED7" w:rsidP="00011ED7">
            <w:pPr>
              <w:jc w:val="center"/>
              <w:rPr>
                <w:lang w:val="en-GB"/>
              </w:rPr>
            </w:pPr>
          </w:p>
        </w:tc>
        <w:tc>
          <w:tcPr>
            <w:tcW w:w="1759" w:type="dxa"/>
            <w:tcBorders>
              <w:top w:val="nil"/>
              <w:left w:val="nil"/>
              <w:bottom w:val="nil"/>
              <w:right w:val="nil"/>
            </w:tcBorders>
          </w:tcPr>
          <w:p w14:paraId="204ABD32" w14:textId="77777777" w:rsidR="00011ED7" w:rsidRPr="00282B04" w:rsidRDefault="00011ED7" w:rsidP="00011ED7">
            <w:pPr>
              <w:jc w:val="center"/>
              <w:rPr>
                <w:lang w:val="en-GB"/>
              </w:rPr>
            </w:pPr>
          </w:p>
          <w:p w14:paraId="6E48E80D" w14:textId="77777777" w:rsidR="00011ED7" w:rsidRPr="007A6F5B" w:rsidRDefault="00011ED7" w:rsidP="00011ED7">
            <w:pPr>
              <w:jc w:val="center"/>
            </w:pPr>
            <w:r w:rsidRPr="007A6F5B">
              <w:rPr>
                <w:lang w:bidi="es-ES"/>
              </w:rPr>
              <w:t>DERECHOS DEL INTERESADO</w:t>
            </w:r>
          </w:p>
        </w:tc>
        <w:tc>
          <w:tcPr>
            <w:tcW w:w="8844" w:type="dxa"/>
            <w:tcBorders>
              <w:top w:val="nil"/>
              <w:left w:val="nil"/>
              <w:bottom w:val="nil"/>
              <w:right w:val="nil"/>
            </w:tcBorders>
          </w:tcPr>
          <w:p w14:paraId="7DFB2B99" w14:textId="77777777" w:rsidR="00011ED7" w:rsidRDefault="00011ED7" w:rsidP="00011ED7">
            <w:pPr>
              <w:jc w:val="both"/>
            </w:pPr>
            <w:r>
              <w:rPr>
                <w:lang w:bidi="es-ES"/>
              </w:rPr>
              <w:t xml:space="preserve">En cualquier momento, usted podrá: ejercer sus derechos (acceso, rectificación, cancelación, limitación, portabilidad, oposición, no a los procesos de toma de decisiones automatizadas) cuando así lo disponga frente al responsable del tratamiento, de conformidad con los artículos 15 a 22 del RGPD </w:t>
            </w:r>
            <w:hyperlink r:id="rId12" w:anchor="d1e2168-1-1" w:tgtFrame="_blank" w:history="1">
              <w:r w:rsidR="006E44F3" w:rsidRPr="00C658FD">
                <w:rPr>
                  <w:rStyle w:val="Hipervnculo"/>
                  <w:lang w:bidi="es-ES"/>
                </w:rPr>
                <w:t>https://eur-lex.europa.eu/legal-content/IT/TXT/HTML/?uri=CELEX:32016R0679&amp;from=IT#d1e2168-1-1)</w:t>
              </w:r>
            </w:hyperlink>
            <w:r>
              <w:rPr>
                <w:lang w:bidi="es-ES"/>
              </w:rPr>
              <w:t>; presentar una reclamación ante el Garante</w:t>
            </w:r>
            <w:hyperlink r:id="rId13" w:history="1">
              <w:r w:rsidRPr="006805EB">
                <w:rPr>
                  <w:rStyle w:val="Hipervnculo"/>
                  <w:lang w:bidi="es-ES"/>
                </w:rPr>
                <w:t>(www.garanteprivacy.it)</w:t>
              </w:r>
            </w:hyperlink>
            <w:r>
              <w:rPr>
                <w:lang w:bidi="es-ES"/>
              </w:rPr>
              <w:t>; cuando el tratamiento se base en el consentimiento, revocar dicho consentimiento otorgado, teniendo en cuenta que la revocación del consentimiento no afecta a la licitud del tratamiento basado en el consentimiento anterior a la revocación.</w:t>
            </w:r>
          </w:p>
        </w:tc>
      </w:tr>
      <w:tr w:rsidR="004C6A88" w14:paraId="061B3B28" w14:textId="77777777" w:rsidTr="004327D8">
        <w:tc>
          <w:tcPr>
            <w:tcW w:w="2438" w:type="dxa"/>
            <w:tcBorders>
              <w:top w:val="nil"/>
              <w:left w:val="nil"/>
              <w:bottom w:val="nil"/>
              <w:right w:val="nil"/>
            </w:tcBorders>
          </w:tcPr>
          <w:p w14:paraId="3B2E8332" w14:textId="77777777" w:rsidR="004C6A88" w:rsidRPr="001A5E4F" w:rsidRDefault="004C6A88" w:rsidP="00673556">
            <w:pPr>
              <w:jc w:val="center"/>
              <w:rPr>
                <w:b/>
                <w:bCs/>
              </w:rPr>
            </w:pPr>
          </w:p>
        </w:tc>
        <w:tc>
          <w:tcPr>
            <w:tcW w:w="1644" w:type="dxa"/>
            <w:tcBorders>
              <w:top w:val="nil"/>
              <w:left w:val="nil"/>
              <w:bottom w:val="nil"/>
              <w:right w:val="nil"/>
            </w:tcBorders>
          </w:tcPr>
          <w:p w14:paraId="026BF779" w14:textId="77777777" w:rsidR="004C6A88" w:rsidRPr="002834AE" w:rsidRDefault="004C6A88" w:rsidP="00673556">
            <w:pPr>
              <w:jc w:val="center"/>
              <w:rPr>
                <w:b/>
                <w:bCs/>
              </w:rPr>
            </w:pPr>
          </w:p>
        </w:tc>
        <w:tc>
          <w:tcPr>
            <w:tcW w:w="850" w:type="dxa"/>
            <w:tcBorders>
              <w:top w:val="nil"/>
              <w:left w:val="nil"/>
              <w:bottom w:val="nil"/>
              <w:right w:val="nil"/>
            </w:tcBorders>
          </w:tcPr>
          <w:p w14:paraId="03019C6D" w14:textId="77777777" w:rsidR="004C6A88" w:rsidRPr="002834AE" w:rsidRDefault="004C6A88" w:rsidP="00673556">
            <w:pPr>
              <w:jc w:val="center"/>
            </w:pPr>
          </w:p>
        </w:tc>
        <w:tc>
          <w:tcPr>
            <w:tcW w:w="1759" w:type="dxa"/>
            <w:tcBorders>
              <w:top w:val="nil"/>
              <w:left w:val="nil"/>
              <w:bottom w:val="nil"/>
              <w:right w:val="nil"/>
            </w:tcBorders>
          </w:tcPr>
          <w:p w14:paraId="6FDAAF4E" w14:textId="77777777" w:rsidR="004C6A88" w:rsidRPr="004C6A88" w:rsidRDefault="004C6A88" w:rsidP="004C6A88">
            <w:pPr>
              <w:rPr>
                <w:u w:val="single"/>
                <w:lang w:val="en-GB"/>
              </w:rPr>
            </w:pPr>
            <w:r w:rsidRPr="004C6A88">
              <w:rPr>
                <w:u w:val="single"/>
                <w:lang w:bidi="es-ES"/>
              </w:rPr>
              <w:t>Desactivar las cookies</w:t>
            </w:r>
          </w:p>
        </w:tc>
        <w:tc>
          <w:tcPr>
            <w:tcW w:w="8844" w:type="dxa"/>
            <w:tcBorders>
              <w:top w:val="nil"/>
              <w:left w:val="nil"/>
              <w:bottom w:val="nil"/>
              <w:right w:val="nil"/>
            </w:tcBorders>
          </w:tcPr>
          <w:p w14:paraId="33842C88" w14:textId="1F820CEE" w:rsidR="000F176C" w:rsidRDefault="004C6A88" w:rsidP="000F176C">
            <w:pPr>
              <w:jc w:val="both"/>
            </w:pPr>
            <w:r>
              <w:rPr>
                <w:lang w:bidi="es-ES"/>
              </w:rPr>
              <w:t xml:space="preserve">Casi todos los navegadores ofrecen la posibilidad de gestionar y no activar las cookies, para respetar las preferencias de los usuarios. Hay una barra de cookies en el sitio web que permite a los usuarios desactivar las cookies no esenciales y/o cambiar las preferencias expresadas anteriormente en cualquier momento. </w:t>
            </w:r>
          </w:p>
          <w:p w14:paraId="0F7B3E8C" w14:textId="20D0051B" w:rsidR="00D95692" w:rsidRDefault="00D95692" w:rsidP="00D95692">
            <w:pPr>
              <w:ind w:left="-65"/>
              <w:jc w:val="both"/>
            </w:pPr>
          </w:p>
        </w:tc>
      </w:tr>
      <w:tr w:rsidR="00673556" w14:paraId="5D97ED85" w14:textId="77777777" w:rsidTr="004327D8">
        <w:tc>
          <w:tcPr>
            <w:tcW w:w="2438" w:type="dxa"/>
            <w:tcBorders>
              <w:top w:val="nil"/>
              <w:left w:val="nil"/>
              <w:bottom w:val="nil"/>
              <w:right w:val="nil"/>
            </w:tcBorders>
          </w:tcPr>
          <w:p w14:paraId="5DB92D25" w14:textId="77777777" w:rsidR="00673556" w:rsidRPr="009B05B8" w:rsidRDefault="00673556" w:rsidP="00673556">
            <w:pPr>
              <w:jc w:val="center"/>
            </w:pPr>
            <w:r w:rsidRPr="007A6EE8">
              <w:rPr>
                <w:b/>
                <w:lang w:bidi="es-ES"/>
              </w:rPr>
              <w:t>13 co.1 let. f)</w:t>
            </w:r>
          </w:p>
        </w:tc>
        <w:tc>
          <w:tcPr>
            <w:tcW w:w="1644" w:type="dxa"/>
            <w:tcBorders>
              <w:top w:val="nil"/>
              <w:left w:val="nil"/>
              <w:bottom w:val="nil"/>
              <w:right w:val="nil"/>
            </w:tcBorders>
          </w:tcPr>
          <w:p w14:paraId="2405C673" w14:textId="77777777" w:rsidR="00673556" w:rsidRPr="009B05B8" w:rsidRDefault="00673556" w:rsidP="00673556">
            <w:pPr>
              <w:jc w:val="center"/>
            </w:pPr>
            <w:r w:rsidRPr="007A6EE8">
              <w:rPr>
                <w:b/>
                <w:lang w:bidi="es-ES"/>
              </w:rPr>
              <w:t>13/14 co.1 let. a/b)</w:t>
            </w:r>
          </w:p>
        </w:tc>
        <w:tc>
          <w:tcPr>
            <w:tcW w:w="850" w:type="dxa"/>
            <w:tcBorders>
              <w:top w:val="nil"/>
              <w:left w:val="nil"/>
              <w:bottom w:val="nil"/>
              <w:right w:val="nil"/>
            </w:tcBorders>
          </w:tcPr>
          <w:p w14:paraId="0C9AF3BC" w14:textId="77777777" w:rsidR="00673556" w:rsidRPr="009B05B8" w:rsidRDefault="00673556" w:rsidP="00673556">
            <w:pPr>
              <w:jc w:val="center"/>
            </w:pPr>
          </w:p>
        </w:tc>
        <w:tc>
          <w:tcPr>
            <w:tcW w:w="1759" w:type="dxa"/>
            <w:tcBorders>
              <w:top w:val="nil"/>
              <w:left w:val="nil"/>
              <w:bottom w:val="nil"/>
              <w:right w:val="nil"/>
            </w:tcBorders>
          </w:tcPr>
          <w:p w14:paraId="2F85317D" w14:textId="77777777" w:rsidR="00673556" w:rsidRPr="007A6F5B" w:rsidRDefault="00673556" w:rsidP="00673556">
            <w:pPr>
              <w:jc w:val="center"/>
            </w:pPr>
            <w:r w:rsidRPr="007A6F5B">
              <w:rPr>
                <w:noProof/>
                <w:lang w:bidi="es-ES"/>
              </w:rPr>
              <w:drawing>
                <wp:inline distT="0" distB="0" distL="0" distR="0" wp14:anchorId="6274F119" wp14:editId="3B523548">
                  <wp:extent cx="780774" cy="780774"/>
                  <wp:effectExtent l="0" t="0" r="635"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0774" cy="780774"/>
                          </a:xfrm>
                          <a:prstGeom prst="rect">
                            <a:avLst/>
                          </a:prstGeom>
                        </pic:spPr>
                      </pic:pic>
                    </a:graphicData>
                  </a:graphic>
                </wp:inline>
              </w:drawing>
            </w:r>
          </w:p>
          <w:p w14:paraId="23C8591C" w14:textId="77777777" w:rsidR="00673556" w:rsidRPr="007A6F5B" w:rsidRDefault="00673556" w:rsidP="00673556">
            <w:pPr>
              <w:jc w:val="center"/>
            </w:pPr>
            <w:r w:rsidRPr="007A6F5B">
              <w:rPr>
                <w:lang w:bidi="es-ES"/>
              </w:rPr>
              <w:t>DATOS DE CONTACTO</w:t>
            </w:r>
          </w:p>
        </w:tc>
        <w:tc>
          <w:tcPr>
            <w:tcW w:w="8844" w:type="dxa"/>
            <w:tcBorders>
              <w:top w:val="nil"/>
              <w:left w:val="nil"/>
              <w:bottom w:val="nil"/>
              <w:right w:val="nil"/>
            </w:tcBorders>
          </w:tcPr>
          <w:p w14:paraId="212BC57D" w14:textId="103D39A3" w:rsidR="000F176C" w:rsidRDefault="00673556" w:rsidP="000F176C">
            <w:pPr>
              <w:jc w:val="both"/>
            </w:pPr>
            <w:r w:rsidRPr="009B05B8">
              <w:rPr>
                <w:lang w:bidi="es-ES"/>
              </w:rPr>
              <w:t xml:space="preserve">El responsable del tratamiento es BIAUTO GROUP S.P.A. en la persona del delegado, DR. FILIPPO TAROCCO. </w:t>
            </w:r>
          </w:p>
          <w:p w14:paraId="27441C10" w14:textId="77777777" w:rsidR="000F176C" w:rsidRDefault="000F176C" w:rsidP="000F176C">
            <w:pPr>
              <w:jc w:val="both"/>
            </w:pPr>
            <w:r w:rsidRPr="00AC299A">
              <w:rPr>
                <w:lang w:bidi="es-ES"/>
              </w:rPr>
              <w:t xml:space="preserve"> La sede social se encuentra en VIA BOLOGNA 102 - 10154 TORINO.</w:t>
            </w:r>
          </w:p>
          <w:p w14:paraId="7AF54882" w14:textId="77777777" w:rsidR="000F176C" w:rsidRDefault="000F176C" w:rsidP="000F176C">
            <w:pPr>
              <w:jc w:val="both"/>
            </w:pPr>
            <w:r>
              <w:rPr>
                <w:lang w:bidi="es-ES"/>
              </w:rPr>
              <w:t>El responsable de la protección de datos D.P.O. es SPAZIOTTANTOTTO S.R.L, dpo@spazio88.com.</w:t>
            </w:r>
          </w:p>
          <w:p w14:paraId="2EEB93FF" w14:textId="77777777" w:rsidR="000F176C" w:rsidRDefault="000F176C" w:rsidP="000F176C">
            <w:pPr>
              <w:jc w:val="both"/>
            </w:pPr>
            <w:r>
              <w:rPr>
                <w:lang w:bidi="es-ES"/>
              </w:rPr>
              <w:t xml:space="preserve">Para ejercer los derechos reconocidos por la legislación en materia de protección de datos personales, puede dirigirse a nuestra organización escribiendo a la dirección de correo electrónico privacy@biautogroup.com </w:t>
            </w:r>
            <w:hyperlink r:id="rId15" w:history="1">
              <w:r w:rsidRPr="007830F4">
                <w:rPr>
                  <w:rStyle w:val="Hipervnculo"/>
                  <w:lang w:bidi="es-ES"/>
                </w:rPr>
                <w:t>o</w:t>
              </w:r>
            </w:hyperlink>
            <w:r>
              <w:rPr>
                <w:lang w:bidi="es-ES"/>
              </w:rPr>
              <w:t xml:space="preserve"> preguntando por el responsable de la protección de datos (R.R.I.) en el teléfono 011.248.3711</w:t>
            </w:r>
          </w:p>
          <w:p w14:paraId="2CCA07BF" w14:textId="1E995F5A" w:rsidR="00673556" w:rsidRPr="009B05B8" w:rsidRDefault="00673556" w:rsidP="00673556">
            <w:pPr>
              <w:jc w:val="both"/>
            </w:pPr>
            <w:r w:rsidRPr="009B05B8">
              <w:rPr>
                <w:lang w:bidi="es-ES"/>
              </w:rPr>
              <w:t>La lista completa de responsables del tratamiento de datos está disponible previa solicitud.</w:t>
            </w:r>
          </w:p>
        </w:tc>
      </w:tr>
    </w:tbl>
    <w:p w14:paraId="1E47C9C9" w14:textId="3499F782" w:rsidR="00A43A76" w:rsidRPr="001D126F" w:rsidRDefault="00A43A76" w:rsidP="001D126F">
      <w:pPr>
        <w:autoSpaceDE/>
        <w:autoSpaceDN/>
        <w:adjustRightInd/>
        <w:rPr>
          <w:rFonts w:ascii="Tahoma" w:hAnsi="Tahoma" w:cs="Tahoma"/>
          <w:b/>
          <w:bCs/>
          <w:sz w:val="12"/>
        </w:rPr>
      </w:pPr>
    </w:p>
    <w:sectPr w:rsidR="00A43A76" w:rsidRPr="001D126F" w:rsidSect="00F012B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CCB7" w14:textId="77777777" w:rsidR="00815058" w:rsidRDefault="00815058" w:rsidP="00025EC3">
      <w:r>
        <w:separator/>
      </w:r>
    </w:p>
  </w:endnote>
  <w:endnote w:type="continuationSeparator" w:id="0">
    <w:p w14:paraId="3843EA65" w14:textId="77777777" w:rsidR="00815058" w:rsidRDefault="00815058" w:rsidP="0002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AC58" w14:textId="77777777" w:rsidR="00815058" w:rsidRDefault="00815058" w:rsidP="00025EC3">
      <w:r>
        <w:separator/>
      </w:r>
    </w:p>
  </w:footnote>
  <w:footnote w:type="continuationSeparator" w:id="0">
    <w:p w14:paraId="2AFDD0BE" w14:textId="77777777" w:rsidR="00815058" w:rsidRDefault="00815058" w:rsidP="00025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566"/>
    <w:multiLevelType w:val="hybridMultilevel"/>
    <w:tmpl w:val="F36864AE"/>
    <w:lvl w:ilvl="0" w:tplc="04F6D3B8">
      <w:numFmt w:val="bullet"/>
      <w:lvlText w:val="-"/>
      <w:lvlJc w:val="left"/>
      <w:pPr>
        <w:tabs>
          <w:tab w:val="num" w:pos="2688"/>
        </w:tabs>
        <w:ind w:left="2688" w:hanging="360"/>
      </w:pPr>
      <w:rPr>
        <w:rFonts w:ascii="Times New Roman" w:eastAsia="Times New Roman" w:hAnsi="Times New Roman" w:cs="Times New Roman" w:hint="default"/>
      </w:rPr>
    </w:lvl>
    <w:lvl w:ilvl="1" w:tplc="04100003" w:tentative="1">
      <w:start w:val="1"/>
      <w:numFmt w:val="bullet"/>
      <w:lvlText w:val="o"/>
      <w:lvlJc w:val="left"/>
      <w:pPr>
        <w:tabs>
          <w:tab w:val="num" w:pos="3408"/>
        </w:tabs>
        <w:ind w:left="3408" w:hanging="360"/>
      </w:pPr>
      <w:rPr>
        <w:rFonts w:ascii="Courier New" w:hAnsi="Courier New" w:hint="default"/>
      </w:rPr>
    </w:lvl>
    <w:lvl w:ilvl="2" w:tplc="04100005" w:tentative="1">
      <w:start w:val="1"/>
      <w:numFmt w:val="bullet"/>
      <w:lvlText w:val=""/>
      <w:lvlJc w:val="left"/>
      <w:pPr>
        <w:tabs>
          <w:tab w:val="num" w:pos="4128"/>
        </w:tabs>
        <w:ind w:left="4128" w:hanging="360"/>
      </w:pPr>
      <w:rPr>
        <w:rFonts w:ascii="Wingdings" w:hAnsi="Wingdings" w:hint="default"/>
      </w:rPr>
    </w:lvl>
    <w:lvl w:ilvl="3" w:tplc="04100001" w:tentative="1">
      <w:start w:val="1"/>
      <w:numFmt w:val="bullet"/>
      <w:lvlText w:val=""/>
      <w:lvlJc w:val="left"/>
      <w:pPr>
        <w:tabs>
          <w:tab w:val="num" w:pos="4848"/>
        </w:tabs>
        <w:ind w:left="4848" w:hanging="360"/>
      </w:pPr>
      <w:rPr>
        <w:rFonts w:ascii="Symbol" w:hAnsi="Symbol" w:hint="default"/>
      </w:rPr>
    </w:lvl>
    <w:lvl w:ilvl="4" w:tplc="04100003" w:tentative="1">
      <w:start w:val="1"/>
      <w:numFmt w:val="bullet"/>
      <w:lvlText w:val="o"/>
      <w:lvlJc w:val="left"/>
      <w:pPr>
        <w:tabs>
          <w:tab w:val="num" w:pos="5568"/>
        </w:tabs>
        <w:ind w:left="5568" w:hanging="360"/>
      </w:pPr>
      <w:rPr>
        <w:rFonts w:ascii="Courier New" w:hAnsi="Courier New" w:hint="default"/>
      </w:rPr>
    </w:lvl>
    <w:lvl w:ilvl="5" w:tplc="04100005" w:tentative="1">
      <w:start w:val="1"/>
      <w:numFmt w:val="bullet"/>
      <w:lvlText w:val=""/>
      <w:lvlJc w:val="left"/>
      <w:pPr>
        <w:tabs>
          <w:tab w:val="num" w:pos="6288"/>
        </w:tabs>
        <w:ind w:left="6288" w:hanging="360"/>
      </w:pPr>
      <w:rPr>
        <w:rFonts w:ascii="Wingdings" w:hAnsi="Wingdings" w:hint="default"/>
      </w:rPr>
    </w:lvl>
    <w:lvl w:ilvl="6" w:tplc="04100001" w:tentative="1">
      <w:start w:val="1"/>
      <w:numFmt w:val="bullet"/>
      <w:lvlText w:val=""/>
      <w:lvlJc w:val="left"/>
      <w:pPr>
        <w:tabs>
          <w:tab w:val="num" w:pos="7008"/>
        </w:tabs>
        <w:ind w:left="7008" w:hanging="360"/>
      </w:pPr>
      <w:rPr>
        <w:rFonts w:ascii="Symbol" w:hAnsi="Symbol" w:hint="default"/>
      </w:rPr>
    </w:lvl>
    <w:lvl w:ilvl="7" w:tplc="04100003" w:tentative="1">
      <w:start w:val="1"/>
      <w:numFmt w:val="bullet"/>
      <w:lvlText w:val="o"/>
      <w:lvlJc w:val="left"/>
      <w:pPr>
        <w:tabs>
          <w:tab w:val="num" w:pos="7728"/>
        </w:tabs>
        <w:ind w:left="7728" w:hanging="360"/>
      </w:pPr>
      <w:rPr>
        <w:rFonts w:ascii="Courier New" w:hAnsi="Courier New" w:hint="default"/>
      </w:rPr>
    </w:lvl>
    <w:lvl w:ilvl="8" w:tplc="04100005" w:tentative="1">
      <w:start w:val="1"/>
      <w:numFmt w:val="bullet"/>
      <w:lvlText w:val=""/>
      <w:lvlJc w:val="left"/>
      <w:pPr>
        <w:tabs>
          <w:tab w:val="num" w:pos="8448"/>
        </w:tabs>
        <w:ind w:left="8448" w:hanging="360"/>
      </w:pPr>
      <w:rPr>
        <w:rFonts w:ascii="Wingdings" w:hAnsi="Wingdings" w:hint="default"/>
      </w:rPr>
    </w:lvl>
  </w:abstractNum>
  <w:abstractNum w:abstractNumId="1" w15:restartNumberingAfterBreak="0">
    <w:nsid w:val="0DB62232"/>
    <w:multiLevelType w:val="hybridMultilevel"/>
    <w:tmpl w:val="3698D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920239"/>
    <w:multiLevelType w:val="hybridMultilevel"/>
    <w:tmpl w:val="C636833E"/>
    <w:lvl w:ilvl="0" w:tplc="15D02DDE">
      <w:numFmt w:val="bullet"/>
      <w:lvlText w:val="•"/>
      <w:lvlJc w:val="left"/>
      <w:pPr>
        <w:ind w:left="1069" w:hanging="709"/>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760F3"/>
    <w:multiLevelType w:val="hybridMultilevel"/>
    <w:tmpl w:val="2132F2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50C1101"/>
    <w:multiLevelType w:val="hybridMultilevel"/>
    <w:tmpl w:val="5F3E5AD6"/>
    <w:lvl w:ilvl="0" w:tplc="58DEBD2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3E1FA5"/>
    <w:multiLevelType w:val="hybridMultilevel"/>
    <w:tmpl w:val="5B7E58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243DEB"/>
    <w:multiLevelType w:val="hybridMultilevel"/>
    <w:tmpl w:val="62AA759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19E5BE0"/>
    <w:multiLevelType w:val="hybridMultilevel"/>
    <w:tmpl w:val="2CFC1A32"/>
    <w:lvl w:ilvl="0" w:tplc="15D02DDE">
      <w:numFmt w:val="bullet"/>
      <w:lvlText w:val="•"/>
      <w:lvlJc w:val="left"/>
      <w:pPr>
        <w:ind w:left="1069" w:hanging="709"/>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866783"/>
    <w:multiLevelType w:val="hybridMultilevel"/>
    <w:tmpl w:val="B4386B0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61D040E3"/>
    <w:multiLevelType w:val="hybridMultilevel"/>
    <w:tmpl w:val="5FA017AA"/>
    <w:lvl w:ilvl="0" w:tplc="58DEBD2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4E44CB4"/>
    <w:multiLevelType w:val="hybridMultilevel"/>
    <w:tmpl w:val="AE06C1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5CA0E70"/>
    <w:multiLevelType w:val="hybridMultilevel"/>
    <w:tmpl w:val="060C4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B2C0730"/>
    <w:multiLevelType w:val="hybridMultilevel"/>
    <w:tmpl w:val="DA582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0253513">
    <w:abstractNumId w:val="8"/>
  </w:num>
  <w:num w:numId="2" w16cid:durableId="701594777">
    <w:abstractNumId w:val="0"/>
  </w:num>
  <w:num w:numId="3" w16cid:durableId="1317146285">
    <w:abstractNumId w:val="3"/>
  </w:num>
  <w:num w:numId="4" w16cid:durableId="1832059796">
    <w:abstractNumId w:val="10"/>
  </w:num>
  <w:num w:numId="5" w16cid:durableId="1310204577">
    <w:abstractNumId w:val="5"/>
  </w:num>
  <w:num w:numId="6" w16cid:durableId="2066178109">
    <w:abstractNumId w:val="6"/>
  </w:num>
  <w:num w:numId="7" w16cid:durableId="1893689751">
    <w:abstractNumId w:val="9"/>
  </w:num>
  <w:num w:numId="8" w16cid:durableId="304315811">
    <w:abstractNumId w:val="12"/>
  </w:num>
  <w:num w:numId="9" w16cid:durableId="1618489624">
    <w:abstractNumId w:val="7"/>
  </w:num>
  <w:num w:numId="10" w16cid:durableId="5526168">
    <w:abstractNumId w:val="2"/>
  </w:num>
  <w:num w:numId="11" w16cid:durableId="319578657">
    <w:abstractNumId w:val="11"/>
  </w:num>
  <w:num w:numId="12" w16cid:durableId="645277802">
    <w:abstractNumId w:val="4"/>
  </w:num>
  <w:num w:numId="13" w16cid:durableId="1812600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1E"/>
    <w:rsid w:val="00011ED7"/>
    <w:rsid w:val="00025EC3"/>
    <w:rsid w:val="00035E07"/>
    <w:rsid w:val="000750C4"/>
    <w:rsid w:val="000821F8"/>
    <w:rsid w:val="000B5962"/>
    <w:rsid w:val="000E70D7"/>
    <w:rsid w:val="000F176C"/>
    <w:rsid w:val="000F5829"/>
    <w:rsid w:val="00100B4D"/>
    <w:rsid w:val="00102C97"/>
    <w:rsid w:val="00122E74"/>
    <w:rsid w:val="00134E53"/>
    <w:rsid w:val="00140EBC"/>
    <w:rsid w:val="00162C6E"/>
    <w:rsid w:val="001911CA"/>
    <w:rsid w:val="001A5E4F"/>
    <w:rsid w:val="001C5449"/>
    <w:rsid w:val="001C747F"/>
    <w:rsid w:val="001D126F"/>
    <w:rsid w:val="0024181B"/>
    <w:rsid w:val="00276814"/>
    <w:rsid w:val="00282B04"/>
    <w:rsid w:val="002834AE"/>
    <w:rsid w:val="002C551C"/>
    <w:rsid w:val="002D706E"/>
    <w:rsid w:val="002E1338"/>
    <w:rsid w:val="003D7E11"/>
    <w:rsid w:val="004327D8"/>
    <w:rsid w:val="00443DEB"/>
    <w:rsid w:val="0044724E"/>
    <w:rsid w:val="00463C46"/>
    <w:rsid w:val="00473141"/>
    <w:rsid w:val="004753B6"/>
    <w:rsid w:val="004853E4"/>
    <w:rsid w:val="004A4D7A"/>
    <w:rsid w:val="004C6A88"/>
    <w:rsid w:val="004D7F56"/>
    <w:rsid w:val="004F69A5"/>
    <w:rsid w:val="005028E2"/>
    <w:rsid w:val="00530A00"/>
    <w:rsid w:val="005453E4"/>
    <w:rsid w:val="005546E4"/>
    <w:rsid w:val="005A2A23"/>
    <w:rsid w:val="005B6210"/>
    <w:rsid w:val="005C18F5"/>
    <w:rsid w:val="005C22C0"/>
    <w:rsid w:val="0060661C"/>
    <w:rsid w:val="0065263C"/>
    <w:rsid w:val="00673556"/>
    <w:rsid w:val="00680ACD"/>
    <w:rsid w:val="00682AD6"/>
    <w:rsid w:val="006A30BD"/>
    <w:rsid w:val="006E44F3"/>
    <w:rsid w:val="00703ED1"/>
    <w:rsid w:val="00730D1B"/>
    <w:rsid w:val="007354EE"/>
    <w:rsid w:val="00776123"/>
    <w:rsid w:val="007A6EE8"/>
    <w:rsid w:val="007A6F5B"/>
    <w:rsid w:val="007C4BEB"/>
    <w:rsid w:val="007D4ABA"/>
    <w:rsid w:val="007F5832"/>
    <w:rsid w:val="00804BBA"/>
    <w:rsid w:val="00806FA1"/>
    <w:rsid w:val="00815058"/>
    <w:rsid w:val="00825040"/>
    <w:rsid w:val="0085355E"/>
    <w:rsid w:val="00870BCC"/>
    <w:rsid w:val="008B1075"/>
    <w:rsid w:val="008B7F7A"/>
    <w:rsid w:val="008D6449"/>
    <w:rsid w:val="008E7960"/>
    <w:rsid w:val="00960BD1"/>
    <w:rsid w:val="0096352D"/>
    <w:rsid w:val="009A1796"/>
    <w:rsid w:val="009A46CD"/>
    <w:rsid w:val="009B05B8"/>
    <w:rsid w:val="009C1C73"/>
    <w:rsid w:val="009C3537"/>
    <w:rsid w:val="009D1AF4"/>
    <w:rsid w:val="009D4498"/>
    <w:rsid w:val="009F481E"/>
    <w:rsid w:val="00A24A19"/>
    <w:rsid w:val="00A266E7"/>
    <w:rsid w:val="00A43A76"/>
    <w:rsid w:val="00A45F14"/>
    <w:rsid w:val="00A5372A"/>
    <w:rsid w:val="00A804C6"/>
    <w:rsid w:val="00AA0C02"/>
    <w:rsid w:val="00AA1E42"/>
    <w:rsid w:val="00AB78AA"/>
    <w:rsid w:val="00AC266B"/>
    <w:rsid w:val="00AC7B53"/>
    <w:rsid w:val="00B40D05"/>
    <w:rsid w:val="00B47B81"/>
    <w:rsid w:val="00B57B4A"/>
    <w:rsid w:val="00B7186B"/>
    <w:rsid w:val="00B86C5F"/>
    <w:rsid w:val="00B922B1"/>
    <w:rsid w:val="00BA4FE7"/>
    <w:rsid w:val="00BB7963"/>
    <w:rsid w:val="00C11DEB"/>
    <w:rsid w:val="00C276C8"/>
    <w:rsid w:val="00C61938"/>
    <w:rsid w:val="00C854A9"/>
    <w:rsid w:val="00CB1C2F"/>
    <w:rsid w:val="00CF1998"/>
    <w:rsid w:val="00D02613"/>
    <w:rsid w:val="00D23EA3"/>
    <w:rsid w:val="00D56F5B"/>
    <w:rsid w:val="00D95692"/>
    <w:rsid w:val="00DB053A"/>
    <w:rsid w:val="00DC2C0D"/>
    <w:rsid w:val="00DC63D6"/>
    <w:rsid w:val="00DF0E08"/>
    <w:rsid w:val="00DF2CB8"/>
    <w:rsid w:val="00E00D3C"/>
    <w:rsid w:val="00E04B33"/>
    <w:rsid w:val="00E367DE"/>
    <w:rsid w:val="00E63636"/>
    <w:rsid w:val="00E67680"/>
    <w:rsid w:val="00E90DA7"/>
    <w:rsid w:val="00EA36B1"/>
    <w:rsid w:val="00EA3B60"/>
    <w:rsid w:val="00EF1D63"/>
    <w:rsid w:val="00EF3EF6"/>
    <w:rsid w:val="00F00671"/>
    <w:rsid w:val="00F012B7"/>
    <w:rsid w:val="00F106F2"/>
    <w:rsid w:val="00F4076E"/>
    <w:rsid w:val="00F501C0"/>
    <w:rsid w:val="00F50DC7"/>
    <w:rsid w:val="00F81C91"/>
    <w:rsid w:val="00F838DC"/>
    <w:rsid w:val="00FE66C8"/>
    <w:rsid w:val="00FE78BC"/>
    <w:rsid w:val="00FF1E8D"/>
    <w:rsid w:val="00FF3B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17080"/>
  <w15:chartTrackingRefBased/>
  <w15:docId w15:val="{8375D67E-C24E-4361-8705-5AA38971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E53"/>
    <w:pPr>
      <w:autoSpaceDE w:val="0"/>
      <w:autoSpaceDN w:val="0"/>
      <w:adjustRightInd w:val="0"/>
    </w:pPr>
    <w:rPr>
      <w:rFonts w:ascii="Calibri" w:hAnsi="Calibri"/>
      <w:sz w:val="22"/>
      <w:szCs w:val="22"/>
    </w:rPr>
  </w:style>
  <w:style w:type="paragraph" w:styleId="Ttulo1">
    <w:name w:val="heading 1"/>
    <w:basedOn w:val="Normal"/>
    <w:next w:val="Normal"/>
    <w:qFormat/>
    <w:pPr>
      <w:keepNext/>
      <w:outlineLvl w:val="0"/>
    </w:pPr>
    <w:rPr>
      <w:rFonts w:ascii="Arial" w:hAnsi="Arial" w:cs="Arial"/>
      <w:b/>
      <w:bCs/>
      <w:caps/>
    </w:rPr>
  </w:style>
  <w:style w:type="paragraph" w:styleId="Ttulo2">
    <w:name w:val="heading 2"/>
    <w:basedOn w:val="Normal"/>
    <w:next w:val="Normal"/>
    <w:qFormat/>
    <w:pPr>
      <w:keepNext/>
      <w:spacing w:line="360" w:lineRule="auto"/>
      <w:jc w:val="both"/>
      <w:outlineLvl w:val="1"/>
    </w:pPr>
    <w:rPr>
      <w:rFonts w:ascii="Arial Black" w:hAnsi="Arial Black" w:cs="Arial"/>
      <w:b/>
      <w:bCs/>
      <w:caps/>
      <w:outline/>
      <w:color w:val="000000"/>
      <w14:textOutline w14:w="9525" w14:cap="flat" w14:cmpd="sng" w14:algn="ctr">
        <w14:solidFill>
          <w14:srgbClr w14:val="000000"/>
        </w14:solidFill>
        <w14:prstDash w14:val="solid"/>
        <w14:round/>
      </w14:textOutline>
      <w14:textFill>
        <w14:noFill/>
      </w14:textFil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900" w:hanging="900"/>
      <w:jc w:val="both"/>
    </w:pPr>
  </w:style>
  <w:style w:type="paragraph" w:styleId="Ttulo">
    <w:name w:val="Title"/>
    <w:basedOn w:val="Normal"/>
    <w:next w:val="Normal"/>
    <w:link w:val="TtuloCar"/>
    <w:qFormat/>
    <w:rsid w:val="005B6210"/>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5B6210"/>
    <w:rPr>
      <w:rFonts w:ascii="Cambria" w:eastAsia="Times New Roman" w:hAnsi="Cambria" w:cs="Times New Roman"/>
      <w:b/>
      <w:bCs/>
      <w:kern w:val="28"/>
      <w:sz w:val="32"/>
      <w:szCs w:val="32"/>
    </w:rPr>
  </w:style>
  <w:style w:type="character" w:styleId="Hipervnculo">
    <w:name w:val="Hyperlink"/>
    <w:basedOn w:val="Fuentedeprrafopredeter"/>
    <w:rsid w:val="00804BBA"/>
    <w:rPr>
      <w:color w:val="0563C1" w:themeColor="hyperlink"/>
      <w:u w:val="single"/>
    </w:rPr>
  </w:style>
  <w:style w:type="paragraph" w:styleId="Prrafodelista">
    <w:name w:val="List Paragraph"/>
    <w:basedOn w:val="Normal"/>
    <w:uiPriority w:val="34"/>
    <w:qFormat/>
    <w:rsid w:val="00DC63D6"/>
    <w:pPr>
      <w:ind w:left="720"/>
      <w:contextualSpacing/>
    </w:pPr>
  </w:style>
  <w:style w:type="character" w:styleId="Refdecomentario">
    <w:name w:val="annotation reference"/>
    <w:basedOn w:val="Fuentedeprrafopredeter"/>
    <w:rsid w:val="007D4ABA"/>
    <w:rPr>
      <w:sz w:val="16"/>
      <w:szCs w:val="16"/>
    </w:rPr>
  </w:style>
  <w:style w:type="paragraph" w:styleId="Textocomentario">
    <w:name w:val="annotation text"/>
    <w:basedOn w:val="Normal"/>
    <w:link w:val="TextocomentarioCar"/>
    <w:rsid w:val="007D4ABA"/>
    <w:rPr>
      <w:sz w:val="20"/>
      <w:szCs w:val="20"/>
    </w:rPr>
  </w:style>
  <w:style w:type="character" w:customStyle="1" w:styleId="TextocomentarioCar">
    <w:name w:val="Texto comentario Car"/>
    <w:basedOn w:val="Fuentedeprrafopredeter"/>
    <w:link w:val="Textocomentario"/>
    <w:rsid w:val="007D4ABA"/>
    <w:rPr>
      <w:rFonts w:ascii="Calibri" w:hAnsi="Calibri"/>
    </w:rPr>
  </w:style>
  <w:style w:type="paragraph" w:styleId="Asuntodelcomentario">
    <w:name w:val="annotation subject"/>
    <w:basedOn w:val="Textocomentario"/>
    <w:next w:val="Textocomentario"/>
    <w:link w:val="AsuntodelcomentarioCar"/>
    <w:rsid w:val="007D4ABA"/>
    <w:rPr>
      <w:b/>
      <w:bCs/>
    </w:rPr>
  </w:style>
  <w:style w:type="character" w:customStyle="1" w:styleId="AsuntodelcomentarioCar">
    <w:name w:val="Asunto del comentario Car"/>
    <w:basedOn w:val="TextocomentarioCar"/>
    <w:link w:val="Asuntodelcomentario"/>
    <w:rsid w:val="007D4ABA"/>
    <w:rPr>
      <w:rFonts w:ascii="Calibri" w:hAnsi="Calibri"/>
      <w:b/>
      <w:bCs/>
    </w:rPr>
  </w:style>
  <w:style w:type="paragraph" w:styleId="Textodeglobo">
    <w:name w:val="Balloon Text"/>
    <w:basedOn w:val="Normal"/>
    <w:link w:val="TextodegloboCar"/>
    <w:rsid w:val="007D4ABA"/>
    <w:rPr>
      <w:rFonts w:ascii="Segoe UI" w:hAnsi="Segoe UI" w:cs="Segoe UI"/>
      <w:sz w:val="18"/>
      <w:szCs w:val="18"/>
    </w:rPr>
  </w:style>
  <w:style w:type="character" w:customStyle="1" w:styleId="TextodegloboCar">
    <w:name w:val="Texto de globo Car"/>
    <w:basedOn w:val="Fuentedeprrafopredeter"/>
    <w:link w:val="Textodeglobo"/>
    <w:rsid w:val="007D4ABA"/>
    <w:rPr>
      <w:rFonts w:ascii="Segoe UI" w:hAnsi="Segoe UI" w:cs="Segoe UI"/>
      <w:sz w:val="18"/>
      <w:szCs w:val="18"/>
    </w:rPr>
  </w:style>
  <w:style w:type="paragraph" w:styleId="Textonotapie">
    <w:name w:val="footnote text"/>
    <w:basedOn w:val="Normal"/>
    <w:link w:val="TextonotapieCar"/>
    <w:rsid w:val="00025EC3"/>
    <w:rPr>
      <w:sz w:val="20"/>
      <w:szCs w:val="20"/>
    </w:rPr>
  </w:style>
  <w:style w:type="character" w:customStyle="1" w:styleId="TextonotapieCar">
    <w:name w:val="Texto nota pie Car"/>
    <w:basedOn w:val="Fuentedeprrafopredeter"/>
    <w:link w:val="Textonotapie"/>
    <w:rsid w:val="00025EC3"/>
    <w:rPr>
      <w:rFonts w:ascii="Calibri" w:hAnsi="Calibri"/>
    </w:rPr>
  </w:style>
  <w:style w:type="character" w:styleId="Refdenotaalpie">
    <w:name w:val="footnote reference"/>
    <w:basedOn w:val="Fuentedeprrafopredeter"/>
    <w:rsid w:val="00025EC3"/>
    <w:rPr>
      <w:vertAlign w:val="superscript"/>
    </w:rPr>
  </w:style>
  <w:style w:type="table" w:styleId="Tablaconcuadrcula">
    <w:name w:val="Table Grid"/>
    <w:basedOn w:val="Tablanormal"/>
    <w:rsid w:val="0096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C276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fasis">
    <w:name w:val="Emphasis"/>
    <w:basedOn w:val="Fuentedeprrafopredeter"/>
    <w:qFormat/>
    <w:rsid w:val="00AC7B53"/>
    <w:rPr>
      <w:i/>
      <w:iCs/>
    </w:rPr>
  </w:style>
  <w:style w:type="paragraph" w:styleId="Subttulo">
    <w:name w:val="Subtitle"/>
    <w:basedOn w:val="Normal"/>
    <w:next w:val="Normal"/>
    <w:link w:val="SubttuloCar"/>
    <w:qFormat/>
    <w:rsid w:val="00AC7B5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rsid w:val="00AC7B53"/>
    <w:rPr>
      <w:rFonts w:asciiTheme="minorHAnsi" w:eastAsiaTheme="minorEastAsia" w:hAnsiTheme="minorHAnsi" w:cstheme="minorBidi"/>
      <w:color w:val="5A5A5A" w:themeColor="text1" w:themeTint="A5"/>
      <w:spacing w:val="15"/>
      <w:sz w:val="22"/>
      <w:szCs w:val="22"/>
    </w:rPr>
  </w:style>
  <w:style w:type="character" w:customStyle="1" w:styleId="Menzionenonrisolta1">
    <w:name w:val="Menzione non risolta1"/>
    <w:basedOn w:val="Fuentedeprrafopredeter"/>
    <w:uiPriority w:val="99"/>
    <w:semiHidden/>
    <w:unhideWhenUsed/>
    <w:rsid w:val="00F00671"/>
    <w:rPr>
      <w:color w:val="808080"/>
      <w:shd w:val="clear" w:color="auto" w:fill="E6E6E6"/>
    </w:rPr>
  </w:style>
  <w:style w:type="paragraph" w:styleId="Citadestacada">
    <w:name w:val="Intense Quote"/>
    <w:basedOn w:val="Normal"/>
    <w:next w:val="Normal"/>
    <w:link w:val="CitadestacadaCar"/>
    <w:uiPriority w:val="30"/>
    <w:qFormat/>
    <w:rsid w:val="004327D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4327D8"/>
    <w:rPr>
      <w:rFonts w:ascii="Calibri" w:hAnsi="Calibri"/>
      <w:i/>
      <w:iCs/>
      <w:color w:val="5B9BD5" w:themeColor="accent1"/>
      <w:sz w:val="22"/>
      <w:szCs w:val="22"/>
    </w:rPr>
  </w:style>
  <w:style w:type="character" w:styleId="Hipervnculovisitado">
    <w:name w:val="FollowedHyperlink"/>
    <w:basedOn w:val="Fuentedeprrafopredeter"/>
    <w:rsid w:val="00B40D05"/>
    <w:rPr>
      <w:color w:val="954F72" w:themeColor="followedHyperlink"/>
      <w:u w:val="single"/>
    </w:rPr>
  </w:style>
  <w:style w:type="character" w:styleId="Mencinsinresolver">
    <w:name w:val="Unresolved Mention"/>
    <w:basedOn w:val="Fuentedeprrafopredeter"/>
    <w:uiPriority w:val="99"/>
    <w:semiHidden/>
    <w:unhideWhenUsed/>
    <w:rsid w:val="00D95692"/>
    <w:rPr>
      <w:color w:val="605E5C"/>
      <w:shd w:val="clear" w:color="auto" w:fill="E1DFDD"/>
    </w:rPr>
  </w:style>
  <w:style w:type="paragraph" w:styleId="Encabezado">
    <w:name w:val="header"/>
    <w:basedOn w:val="Normal"/>
    <w:link w:val="EncabezadoCar"/>
    <w:rsid w:val="00C854A9"/>
    <w:pPr>
      <w:tabs>
        <w:tab w:val="center" w:pos="4819"/>
        <w:tab w:val="right" w:pos="9638"/>
      </w:tabs>
    </w:pPr>
  </w:style>
  <w:style w:type="character" w:customStyle="1" w:styleId="EncabezadoCar">
    <w:name w:val="Encabezado Car"/>
    <w:basedOn w:val="Fuentedeprrafopredeter"/>
    <w:link w:val="Encabezado"/>
    <w:rsid w:val="00C854A9"/>
    <w:rPr>
      <w:rFonts w:ascii="Calibri" w:hAnsi="Calibri"/>
      <w:sz w:val="22"/>
      <w:szCs w:val="22"/>
    </w:rPr>
  </w:style>
  <w:style w:type="paragraph" w:styleId="Piedepgina">
    <w:name w:val="footer"/>
    <w:basedOn w:val="Normal"/>
    <w:link w:val="PiedepginaCar"/>
    <w:rsid w:val="00C854A9"/>
    <w:pPr>
      <w:tabs>
        <w:tab w:val="center" w:pos="4819"/>
        <w:tab w:val="right" w:pos="9638"/>
      </w:tabs>
    </w:pPr>
  </w:style>
  <w:style w:type="character" w:customStyle="1" w:styleId="PiedepginaCar">
    <w:name w:val="Pie de página Car"/>
    <w:basedOn w:val="Fuentedeprrafopredeter"/>
    <w:link w:val="Piedepgina"/>
    <w:rsid w:val="00C854A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4543">
      <w:bodyDiv w:val="1"/>
      <w:marLeft w:val="0"/>
      <w:marRight w:val="0"/>
      <w:marTop w:val="0"/>
      <w:marBottom w:val="0"/>
      <w:divBdr>
        <w:top w:val="none" w:sz="0" w:space="0" w:color="auto"/>
        <w:left w:val="none" w:sz="0" w:space="0" w:color="auto"/>
        <w:bottom w:val="none" w:sz="0" w:space="0" w:color="auto"/>
        <w:right w:val="none" w:sz="0" w:space="0" w:color="auto"/>
      </w:divBdr>
      <w:divsChild>
        <w:div w:id="633872203">
          <w:marLeft w:val="0"/>
          <w:marRight w:val="0"/>
          <w:marTop w:val="0"/>
          <w:marBottom w:val="0"/>
          <w:divBdr>
            <w:top w:val="none" w:sz="0" w:space="0" w:color="auto"/>
            <w:left w:val="none" w:sz="0" w:space="0" w:color="auto"/>
            <w:bottom w:val="none" w:sz="0" w:space="0" w:color="auto"/>
            <w:right w:val="none" w:sz="0" w:space="0" w:color="auto"/>
          </w:divBdr>
        </w:div>
        <w:div w:id="13521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IT/TXT/HTML/?uri=CELEX:32016R0679&amp;fr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rivacy@biautogroup.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31E6D-EE07-4DF2-8CB1-99352C71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2461</Words>
  <Characters>13539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MODELLO DI INFORMATIVA ED ACQUISIZIONE DI CONSENSO (CLIENTI E FORNITORI)</vt:lpstr>
    </vt:vector>
  </TitlesOfParts>
  <Company>Unione Industriale</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INFORMATIVA ED ACQUISIZIONE DI CONSENSO (CLIENTI E FORNITORI)</dc:title>
  <dc:subject/>
  <dc:creator>legale</dc:creator>
  <cp:keywords/>
  <dc:description/>
  <cp:lastModifiedBy>Info</cp:lastModifiedBy>
  <cp:revision>7</cp:revision>
  <cp:lastPrinted>2018-06-01T07:29:00Z</cp:lastPrinted>
  <dcterms:created xsi:type="dcterms:W3CDTF">2022-07-06T08:07:00Z</dcterms:created>
  <dcterms:modified xsi:type="dcterms:W3CDTF">2022-07-18T06:21:00Z</dcterms:modified>
</cp:coreProperties>
</file>